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4CD5" w14:textId="77777777" w:rsidR="00634088" w:rsidRPr="00CB7B2A" w:rsidRDefault="00634088" w:rsidP="00634088">
      <w:pPr>
        <w:rPr>
          <w:rFonts w:cs="Arial"/>
          <w:b/>
          <w:vertAlign w:val="superscript"/>
        </w:rPr>
      </w:pPr>
      <w:bookmarkStart w:id="0" w:name="_GoBack"/>
      <w:bookmarkEnd w:id="0"/>
    </w:p>
    <w:p w14:paraId="1D3D6FA1" w14:textId="77777777" w:rsidR="00634088" w:rsidRPr="001803FA" w:rsidRDefault="00634088" w:rsidP="00634088">
      <w:pPr>
        <w:rPr>
          <w:rFonts w:cs="Arial"/>
          <w:b/>
        </w:rPr>
      </w:pPr>
    </w:p>
    <w:p w14:paraId="58F03101" w14:textId="0BC80B90" w:rsidR="00634088" w:rsidRPr="001803FA" w:rsidRDefault="00634088" w:rsidP="00634088">
      <w:pPr>
        <w:rPr>
          <w:rFonts w:cs="Arial"/>
          <w:b/>
        </w:rPr>
      </w:pPr>
      <w:r w:rsidRPr="001803FA">
        <w:rPr>
          <w:rFonts w:cs="Arial"/>
          <w:b/>
          <w:noProof/>
          <w:lang w:eastAsia="en-US"/>
        </w:rPr>
        <w:drawing>
          <wp:anchor distT="0" distB="0" distL="114300" distR="114300" simplePos="0" relativeHeight="251658240" behindDoc="0" locked="0" layoutInCell="1" allowOverlap="1" wp14:anchorId="6C554260" wp14:editId="0F602EEA">
            <wp:simplePos x="0" y="0"/>
            <wp:positionH relativeFrom="column">
              <wp:posOffset>-242570</wp:posOffset>
            </wp:positionH>
            <wp:positionV relativeFrom="paragraph">
              <wp:posOffset>-387985</wp:posOffset>
            </wp:positionV>
            <wp:extent cx="794385" cy="794385"/>
            <wp:effectExtent l="0" t="0" r="0" b="0"/>
            <wp:wrapThrough wrapText="bothSides">
              <wp:wrapPolygon edited="0">
                <wp:start x="0" y="0"/>
                <wp:lineTo x="0" y="20719"/>
                <wp:lineTo x="20719" y="20719"/>
                <wp:lineTo x="207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solidFill>
                      <a:srgbClr val="000090"/>
                    </a:solidFill>
                  </pic:spPr>
                </pic:pic>
              </a:graphicData>
            </a:graphic>
            <wp14:sizeRelH relativeFrom="page">
              <wp14:pctWidth>0</wp14:pctWidth>
            </wp14:sizeRelH>
            <wp14:sizeRelV relativeFrom="page">
              <wp14:pctHeight>0</wp14:pctHeight>
            </wp14:sizeRelV>
          </wp:anchor>
        </w:drawing>
      </w:r>
    </w:p>
    <w:p w14:paraId="1194D213" w14:textId="77777777" w:rsidR="00634088" w:rsidRPr="001803FA" w:rsidRDefault="00634088" w:rsidP="00634088">
      <w:pPr>
        <w:rPr>
          <w:rFonts w:cs="Arial"/>
          <w:b/>
        </w:rPr>
      </w:pPr>
    </w:p>
    <w:p w14:paraId="4662ED6F" w14:textId="77777777" w:rsidR="00634088" w:rsidRDefault="00634088" w:rsidP="00634088">
      <w:pPr>
        <w:rPr>
          <w:rFonts w:cs="Arial"/>
          <w:b/>
        </w:rPr>
      </w:pPr>
    </w:p>
    <w:p w14:paraId="42611160" w14:textId="77777777" w:rsidR="00281FB5" w:rsidRPr="001803FA" w:rsidRDefault="00281FB5" w:rsidP="00634088">
      <w:pPr>
        <w:rPr>
          <w:rFonts w:cs="Arial"/>
          <w:b/>
        </w:rPr>
      </w:pPr>
    </w:p>
    <w:p w14:paraId="4C545D9A" w14:textId="77777777" w:rsidR="00634088" w:rsidRPr="00117DF3" w:rsidRDefault="00634088" w:rsidP="00634088">
      <w:pPr>
        <w:pBdr>
          <w:bottom w:val="single" w:sz="4" w:space="0" w:color="auto"/>
        </w:pBdr>
        <w:ind w:left="-360"/>
        <w:rPr>
          <w:rFonts w:cs="Arial"/>
          <w:sz w:val="28"/>
          <w:szCs w:val="28"/>
        </w:rPr>
      </w:pPr>
      <w:r w:rsidRPr="00117DF3">
        <w:rPr>
          <w:rFonts w:cs="Arial"/>
          <w:sz w:val="28"/>
          <w:szCs w:val="28"/>
        </w:rPr>
        <w:t>Technical Assistance Consultant’s Report</w:t>
      </w:r>
    </w:p>
    <w:p w14:paraId="3068BDD9" w14:textId="77777777" w:rsidR="00634088" w:rsidRPr="001803FA" w:rsidRDefault="00634088" w:rsidP="00634088">
      <w:pPr>
        <w:rPr>
          <w:rFonts w:cs="Arial"/>
        </w:rPr>
      </w:pPr>
    </w:p>
    <w:p w14:paraId="3D47EDD2" w14:textId="77777777" w:rsidR="00634088" w:rsidRPr="001803FA" w:rsidRDefault="00634088" w:rsidP="00634088">
      <w:pPr>
        <w:pStyle w:val="ParagraphTextNormal"/>
        <w:widowControl w:val="0"/>
        <w:spacing w:before="0" w:after="0" w:line="240" w:lineRule="auto"/>
        <w:rPr>
          <w:rFonts w:ascii="Arial" w:hAnsi="Arial" w:cs="Arial"/>
          <w:sz w:val="22"/>
          <w:szCs w:val="22"/>
        </w:rPr>
      </w:pPr>
    </w:p>
    <w:p w14:paraId="0B7B6FC7" w14:textId="77777777" w:rsidR="00634088" w:rsidRPr="001803FA" w:rsidRDefault="00634088" w:rsidP="00634088">
      <w:pPr>
        <w:rPr>
          <w:rFonts w:cs="Arial"/>
        </w:rPr>
      </w:pPr>
    </w:p>
    <w:p w14:paraId="197BDAA5" w14:textId="5E2E6C8D" w:rsidR="00634088" w:rsidRPr="001803FA" w:rsidRDefault="00634088" w:rsidP="00370F8A">
      <w:pPr>
        <w:spacing w:line="360" w:lineRule="auto"/>
        <w:ind w:left="-360"/>
        <w:rPr>
          <w:rFonts w:cs="Arial"/>
          <w:bCs/>
          <w:sz w:val="24"/>
          <w:szCs w:val="24"/>
        </w:rPr>
      </w:pPr>
      <w:r w:rsidRPr="001803FA">
        <w:rPr>
          <w:rFonts w:cs="Arial"/>
          <w:bCs/>
          <w:sz w:val="24"/>
          <w:szCs w:val="24"/>
        </w:rPr>
        <w:t>Project Number: TA</w:t>
      </w:r>
      <w:r w:rsidR="00931EDE">
        <w:rPr>
          <w:rFonts w:cs="Arial"/>
          <w:bCs/>
          <w:sz w:val="24"/>
          <w:szCs w:val="24"/>
        </w:rPr>
        <w:t>-</w:t>
      </w:r>
      <w:r w:rsidR="0094354C">
        <w:rPr>
          <w:rFonts w:cs="Arial"/>
          <w:bCs/>
          <w:sz w:val="24"/>
          <w:szCs w:val="24"/>
        </w:rPr>
        <w:t>9332</w:t>
      </w:r>
      <w:r w:rsidR="00662C14">
        <w:rPr>
          <w:rFonts w:cs="Arial"/>
          <w:bCs/>
          <w:sz w:val="24"/>
          <w:szCs w:val="24"/>
        </w:rPr>
        <w:t xml:space="preserve"> </w:t>
      </w:r>
      <w:r w:rsidR="0094354C">
        <w:rPr>
          <w:rFonts w:cs="Arial"/>
          <w:bCs/>
          <w:sz w:val="24"/>
          <w:szCs w:val="24"/>
        </w:rPr>
        <w:t>ARM</w:t>
      </w:r>
    </w:p>
    <w:p w14:paraId="3F7FAC01" w14:textId="537FE92E" w:rsidR="00634088" w:rsidRPr="001803FA" w:rsidRDefault="001900E3" w:rsidP="00370F8A">
      <w:pPr>
        <w:spacing w:line="360" w:lineRule="auto"/>
        <w:ind w:left="-360"/>
        <w:rPr>
          <w:rFonts w:cs="Arial"/>
          <w:bCs/>
          <w:sz w:val="24"/>
          <w:szCs w:val="24"/>
        </w:rPr>
      </w:pPr>
      <w:r>
        <w:rPr>
          <w:rFonts w:cs="Arial"/>
          <w:bCs/>
          <w:sz w:val="24"/>
          <w:szCs w:val="24"/>
        </w:rPr>
        <w:t>August</w:t>
      </w:r>
      <w:r w:rsidR="00221B5B">
        <w:rPr>
          <w:rFonts w:cs="Arial"/>
          <w:bCs/>
          <w:sz w:val="24"/>
          <w:szCs w:val="24"/>
        </w:rPr>
        <w:t xml:space="preserve"> </w:t>
      </w:r>
      <w:r w:rsidR="00662C14">
        <w:rPr>
          <w:rFonts w:cs="Arial"/>
          <w:bCs/>
          <w:sz w:val="24"/>
          <w:szCs w:val="24"/>
        </w:rPr>
        <w:t>201</w:t>
      </w:r>
      <w:r w:rsidR="0094354C">
        <w:rPr>
          <w:rFonts w:cs="Arial"/>
          <w:bCs/>
          <w:sz w:val="24"/>
          <w:szCs w:val="24"/>
        </w:rPr>
        <w:t>8</w:t>
      </w:r>
    </w:p>
    <w:p w14:paraId="1FF687D2" w14:textId="77777777" w:rsidR="00634088" w:rsidRPr="001803FA" w:rsidRDefault="00634088" w:rsidP="00634088">
      <w:pPr>
        <w:ind w:left="-360" w:firstLine="360"/>
        <w:rPr>
          <w:rFonts w:cs="Arial"/>
          <w:sz w:val="24"/>
          <w:szCs w:val="24"/>
        </w:rPr>
      </w:pPr>
    </w:p>
    <w:p w14:paraId="61AC3E3B" w14:textId="77777777" w:rsidR="00634088" w:rsidRPr="001803FA" w:rsidRDefault="00634088" w:rsidP="00634088">
      <w:pPr>
        <w:pStyle w:val="Default"/>
        <w:rPr>
          <w:sz w:val="22"/>
          <w:szCs w:val="22"/>
        </w:rPr>
      </w:pPr>
    </w:p>
    <w:p w14:paraId="4FC53484" w14:textId="03C69A07" w:rsidR="00634088" w:rsidRPr="00370F8A" w:rsidRDefault="0025699F" w:rsidP="00634088">
      <w:pPr>
        <w:ind w:left="-360"/>
        <w:rPr>
          <w:rFonts w:cs="Arial"/>
          <w:sz w:val="40"/>
          <w:szCs w:val="40"/>
        </w:rPr>
      </w:pPr>
      <w:r>
        <w:rPr>
          <w:rFonts w:cs="Arial"/>
          <w:sz w:val="40"/>
          <w:szCs w:val="40"/>
        </w:rPr>
        <w:t>Armenia</w:t>
      </w:r>
      <w:r w:rsidR="00634088" w:rsidRPr="00370F8A">
        <w:rPr>
          <w:rFonts w:cs="Arial"/>
          <w:sz w:val="40"/>
          <w:szCs w:val="40"/>
        </w:rPr>
        <w:t>: Strengthenin</w:t>
      </w:r>
      <w:r w:rsidR="00662C14">
        <w:rPr>
          <w:rFonts w:cs="Arial"/>
          <w:sz w:val="40"/>
          <w:szCs w:val="40"/>
        </w:rPr>
        <w:t xml:space="preserve">g </w:t>
      </w:r>
      <w:r w:rsidR="001900E3">
        <w:rPr>
          <w:rFonts w:cs="Arial"/>
          <w:sz w:val="40"/>
          <w:szCs w:val="40"/>
        </w:rPr>
        <w:t xml:space="preserve">Operational Risk Management Framework for </w:t>
      </w:r>
      <w:r w:rsidR="00662C14">
        <w:rPr>
          <w:rFonts w:cs="Arial"/>
          <w:sz w:val="40"/>
          <w:szCs w:val="40"/>
        </w:rPr>
        <w:t xml:space="preserve">Public Debt Management </w:t>
      </w:r>
    </w:p>
    <w:p w14:paraId="5B7C92C1" w14:textId="77777777" w:rsidR="00634088" w:rsidRPr="001803FA" w:rsidRDefault="00634088" w:rsidP="00634088">
      <w:pPr>
        <w:rPr>
          <w:rFonts w:cs="Arial"/>
        </w:rPr>
      </w:pPr>
    </w:p>
    <w:p w14:paraId="5115564B" w14:textId="77777777" w:rsidR="00715DD6" w:rsidRPr="001803FA" w:rsidRDefault="00715DD6" w:rsidP="00715DD6">
      <w:pPr>
        <w:ind w:left="-360"/>
        <w:rPr>
          <w:rFonts w:cs="Arial"/>
          <w:iCs/>
        </w:rPr>
      </w:pPr>
    </w:p>
    <w:p w14:paraId="69FA1CC0" w14:textId="2A76B320" w:rsidR="00634088" w:rsidRPr="00370F8A" w:rsidRDefault="001900E3" w:rsidP="00715DD6">
      <w:pPr>
        <w:ind w:left="-360"/>
        <w:rPr>
          <w:rFonts w:cs="Arial"/>
          <w:iCs/>
          <w:sz w:val="28"/>
          <w:szCs w:val="28"/>
        </w:rPr>
      </w:pPr>
      <w:r>
        <w:rPr>
          <w:rFonts w:cs="Arial"/>
          <w:iCs/>
          <w:sz w:val="28"/>
          <w:szCs w:val="28"/>
        </w:rPr>
        <w:t>Draft</w:t>
      </w:r>
      <w:r w:rsidRPr="00370F8A">
        <w:rPr>
          <w:rFonts w:cs="Arial"/>
          <w:iCs/>
          <w:sz w:val="28"/>
          <w:szCs w:val="28"/>
        </w:rPr>
        <w:t xml:space="preserve"> </w:t>
      </w:r>
      <w:r w:rsidR="00715DD6" w:rsidRPr="00370F8A">
        <w:rPr>
          <w:rFonts w:cs="Arial"/>
          <w:iCs/>
          <w:sz w:val="28"/>
          <w:szCs w:val="28"/>
        </w:rPr>
        <w:t>Report</w:t>
      </w:r>
    </w:p>
    <w:p w14:paraId="3B2DE3CB" w14:textId="77777777" w:rsidR="00634088" w:rsidRPr="001803FA" w:rsidRDefault="00634088" w:rsidP="00634088">
      <w:pPr>
        <w:rPr>
          <w:rFonts w:cs="Arial"/>
        </w:rPr>
      </w:pPr>
    </w:p>
    <w:p w14:paraId="621CE8F5" w14:textId="77777777" w:rsidR="00715DD6" w:rsidRPr="001803FA" w:rsidRDefault="00715DD6" w:rsidP="00634088">
      <w:pPr>
        <w:rPr>
          <w:rFonts w:cs="Arial"/>
        </w:rPr>
      </w:pPr>
    </w:p>
    <w:p w14:paraId="0A21E330" w14:textId="77777777" w:rsidR="00715DD6" w:rsidRPr="001803FA" w:rsidRDefault="00715DD6" w:rsidP="00634088">
      <w:pPr>
        <w:rPr>
          <w:rFonts w:cs="Arial"/>
        </w:rPr>
      </w:pPr>
    </w:p>
    <w:p w14:paraId="17987C1F" w14:textId="77777777" w:rsidR="00634088" w:rsidRPr="001803FA" w:rsidRDefault="00634088" w:rsidP="00634088">
      <w:pPr>
        <w:rPr>
          <w:rFonts w:cs="Arial"/>
        </w:rPr>
      </w:pPr>
    </w:p>
    <w:p w14:paraId="58ECBE94" w14:textId="2C5E40FE" w:rsidR="00634088" w:rsidRPr="00117DF3" w:rsidRDefault="00634088" w:rsidP="00370F8A">
      <w:pPr>
        <w:spacing w:line="360" w:lineRule="auto"/>
        <w:ind w:left="-360"/>
        <w:rPr>
          <w:rFonts w:cs="Arial"/>
          <w:bCs/>
          <w:sz w:val="24"/>
          <w:szCs w:val="24"/>
        </w:rPr>
      </w:pPr>
      <w:r w:rsidRPr="00117DF3">
        <w:rPr>
          <w:rFonts w:cs="Arial"/>
          <w:bCs/>
          <w:sz w:val="24"/>
          <w:szCs w:val="24"/>
        </w:rPr>
        <w:t xml:space="preserve">Prepared by: </w:t>
      </w:r>
      <w:r w:rsidR="0094354C">
        <w:rPr>
          <w:rFonts w:cs="Arial"/>
          <w:bCs/>
          <w:sz w:val="24"/>
          <w:szCs w:val="24"/>
        </w:rPr>
        <w:t>Arindam Roy</w:t>
      </w:r>
    </w:p>
    <w:p w14:paraId="29EB5880" w14:textId="3AA1B80E" w:rsidR="00FF373D" w:rsidRPr="00117DF3" w:rsidRDefault="00FF373D" w:rsidP="00370F8A">
      <w:pPr>
        <w:spacing w:line="360" w:lineRule="auto"/>
        <w:ind w:left="-360"/>
        <w:rPr>
          <w:rFonts w:cs="Arial"/>
          <w:bCs/>
          <w:sz w:val="24"/>
          <w:szCs w:val="24"/>
        </w:rPr>
      </w:pPr>
      <w:r w:rsidRPr="00117DF3">
        <w:rPr>
          <w:rFonts w:cs="Arial"/>
          <w:bCs/>
          <w:sz w:val="24"/>
          <w:szCs w:val="24"/>
        </w:rPr>
        <w:t>Date:</w:t>
      </w:r>
      <w:r w:rsidR="00662C14">
        <w:rPr>
          <w:rFonts w:cs="Arial"/>
          <w:bCs/>
          <w:sz w:val="24"/>
          <w:szCs w:val="24"/>
        </w:rPr>
        <w:t xml:space="preserve">   </w:t>
      </w:r>
      <w:r w:rsidR="001900E3">
        <w:rPr>
          <w:rFonts w:cs="Arial"/>
          <w:bCs/>
          <w:sz w:val="24"/>
          <w:szCs w:val="24"/>
        </w:rPr>
        <w:t xml:space="preserve">August </w:t>
      </w:r>
      <w:r w:rsidR="000A7513">
        <w:rPr>
          <w:rFonts w:cs="Arial"/>
          <w:bCs/>
          <w:sz w:val="24"/>
          <w:szCs w:val="24"/>
        </w:rPr>
        <w:t>29</w:t>
      </w:r>
      <w:r w:rsidR="00301B41">
        <w:rPr>
          <w:rFonts w:cs="Arial"/>
          <w:bCs/>
          <w:sz w:val="24"/>
          <w:szCs w:val="24"/>
        </w:rPr>
        <w:t xml:space="preserve">, </w:t>
      </w:r>
      <w:r w:rsidR="00662C14">
        <w:rPr>
          <w:rFonts w:cs="Arial"/>
          <w:bCs/>
          <w:sz w:val="24"/>
          <w:szCs w:val="24"/>
        </w:rPr>
        <w:t>201</w:t>
      </w:r>
      <w:r w:rsidR="0094354C">
        <w:rPr>
          <w:rFonts w:cs="Arial"/>
          <w:bCs/>
          <w:sz w:val="24"/>
          <w:szCs w:val="24"/>
        </w:rPr>
        <w:t>8</w:t>
      </w:r>
    </w:p>
    <w:p w14:paraId="44AEF480" w14:textId="66A049D2" w:rsidR="00FF373D" w:rsidRDefault="00FF373D" w:rsidP="00370F8A">
      <w:pPr>
        <w:spacing w:line="360" w:lineRule="auto"/>
        <w:ind w:left="-360"/>
        <w:rPr>
          <w:rFonts w:cs="Arial"/>
          <w:bCs/>
          <w:sz w:val="24"/>
          <w:szCs w:val="24"/>
        </w:rPr>
      </w:pPr>
    </w:p>
    <w:p w14:paraId="134EF081" w14:textId="4E0FE821" w:rsidR="00B1117A" w:rsidRPr="00117DF3" w:rsidRDefault="00A9471F" w:rsidP="00370F8A">
      <w:pPr>
        <w:spacing w:line="360" w:lineRule="auto"/>
        <w:ind w:left="-360"/>
        <w:rPr>
          <w:rFonts w:cs="Arial"/>
          <w:bCs/>
          <w:sz w:val="24"/>
          <w:szCs w:val="24"/>
        </w:rPr>
      </w:pPr>
      <w:r>
        <w:rPr>
          <w:rFonts w:cs="Arial"/>
          <w:bCs/>
          <w:sz w:val="24"/>
          <w:szCs w:val="24"/>
        </w:rPr>
        <w:t>F</w:t>
      </w:r>
      <w:r w:rsidR="00745A5E">
        <w:rPr>
          <w:rFonts w:cs="Arial"/>
          <w:bCs/>
          <w:sz w:val="24"/>
          <w:szCs w:val="24"/>
        </w:rPr>
        <w:t>or: Asian Development Bank</w:t>
      </w:r>
    </w:p>
    <w:p w14:paraId="7DAD5AE9" w14:textId="77777777" w:rsidR="00634088" w:rsidRPr="00117DF3" w:rsidRDefault="00634088" w:rsidP="00370F8A">
      <w:pPr>
        <w:spacing w:line="360" w:lineRule="auto"/>
        <w:ind w:left="-360"/>
        <w:rPr>
          <w:rFonts w:cs="Arial"/>
          <w:bCs/>
          <w:sz w:val="24"/>
          <w:szCs w:val="24"/>
        </w:rPr>
      </w:pPr>
    </w:p>
    <w:p w14:paraId="0D580BE2" w14:textId="77777777" w:rsidR="00634088" w:rsidRPr="00117DF3" w:rsidRDefault="00634088" w:rsidP="00193AC9">
      <w:pPr>
        <w:ind w:left="-360"/>
        <w:rPr>
          <w:rFonts w:cs="Arial"/>
          <w:bCs/>
          <w:sz w:val="24"/>
          <w:szCs w:val="24"/>
        </w:rPr>
      </w:pPr>
    </w:p>
    <w:p w14:paraId="05CCA7F5" w14:textId="77777777" w:rsidR="00634088" w:rsidRPr="00117DF3" w:rsidRDefault="00634088" w:rsidP="00193AC9">
      <w:pPr>
        <w:ind w:left="-360"/>
        <w:rPr>
          <w:rFonts w:cs="Arial"/>
          <w:bCs/>
          <w:sz w:val="24"/>
          <w:szCs w:val="24"/>
        </w:rPr>
      </w:pPr>
    </w:p>
    <w:p w14:paraId="7B085EA6" w14:textId="77777777" w:rsidR="00634088" w:rsidRDefault="00634088" w:rsidP="00634088">
      <w:pPr>
        <w:rPr>
          <w:rFonts w:cs="Arial"/>
        </w:rPr>
      </w:pPr>
    </w:p>
    <w:p w14:paraId="013400D3" w14:textId="77777777" w:rsidR="00832536" w:rsidRDefault="00832536" w:rsidP="00634088">
      <w:pPr>
        <w:rPr>
          <w:rFonts w:cs="Arial"/>
        </w:rPr>
      </w:pPr>
    </w:p>
    <w:p w14:paraId="43104AA3" w14:textId="77777777" w:rsidR="00832536" w:rsidRPr="001803FA" w:rsidRDefault="00832536" w:rsidP="00634088">
      <w:pPr>
        <w:rPr>
          <w:rFonts w:cs="Arial"/>
        </w:rPr>
      </w:pPr>
    </w:p>
    <w:p w14:paraId="0B2408D5" w14:textId="77777777" w:rsidR="00634088" w:rsidRPr="001803FA" w:rsidRDefault="00634088" w:rsidP="00634088">
      <w:pPr>
        <w:rPr>
          <w:rFonts w:cs="Arial"/>
        </w:rPr>
      </w:pPr>
    </w:p>
    <w:p w14:paraId="4D057562" w14:textId="77777777" w:rsidR="00193AC9" w:rsidRPr="001803FA" w:rsidRDefault="00193AC9" w:rsidP="00634088">
      <w:pPr>
        <w:rPr>
          <w:rFonts w:cs="Arial"/>
        </w:rPr>
      </w:pPr>
    </w:p>
    <w:p w14:paraId="65751C59" w14:textId="77777777" w:rsidR="00193AC9" w:rsidRPr="001803FA" w:rsidRDefault="00193AC9" w:rsidP="00634088">
      <w:pPr>
        <w:rPr>
          <w:rFonts w:cs="Arial"/>
        </w:rPr>
      </w:pPr>
    </w:p>
    <w:p w14:paraId="58CD63D0" w14:textId="77777777" w:rsidR="00193AC9" w:rsidRPr="001803FA" w:rsidRDefault="00193AC9" w:rsidP="00634088">
      <w:pPr>
        <w:rPr>
          <w:rFonts w:cs="Arial"/>
        </w:rPr>
      </w:pPr>
    </w:p>
    <w:p w14:paraId="2FE5584C" w14:textId="77777777" w:rsidR="00193AC9" w:rsidRPr="001803FA" w:rsidRDefault="00193AC9" w:rsidP="00634088">
      <w:pPr>
        <w:rPr>
          <w:rFonts w:cs="Arial"/>
        </w:rPr>
      </w:pPr>
    </w:p>
    <w:p w14:paraId="2595EEA7" w14:textId="77777777" w:rsidR="00193AC9" w:rsidRPr="001803FA" w:rsidRDefault="00193AC9" w:rsidP="00634088">
      <w:pPr>
        <w:rPr>
          <w:rFonts w:cs="Arial"/>
        </w:rPr>
      </w:pPr>
    </w:p>
    <w:p w14:paraId="1DB64DF3" w14:textId="33B17589" w:rsidR="00143746" w:rsidRPr="008E1ACA" w:rsidRDefault="00193AC9" w:rsidP="00FF373D">
      <w:pPr>
        <w:ind w:left="-360"/>
        <w:jc w:val="both"/>
        <w:rPr>
          <w:rFonts w:cs="Arial"/>
          <w:bCs/>
          <w:color w:val="808080" w:themeColor="background1" w:themeShade="80"/>
        </w:rPr>
      </w:pPr>
      <w:r w:rsidRPr="008E1ACA">
        <w:rPr>
          <w:rFonts w:cs="Arial"/>
          <w:bCs/>
          <w:noProof/>
          <w:color w:val="808080" w:themeColor="background1" w:themeShade="80"/>
          <w:lang w:eastAsia="en-US"/>
        </w:rPr>
        <w:drawing>
          <wp:anchor distT="0" distB="0" distL="114300" distR="114300" simplePos="0" relativeHeight="251660288" behindDoc="0" locked="0" layoutInCell="1" allowOverlap="1" wp14:anchorId="2E3542E7" wp14:editId="177D614A">
            <wp:simplePos x="0" y="0"/>
            <wp:positionH relativeFrom="column">
              <wp:posOffset>-228600</wp:posOffset>
            </wp:positionH>
            <wp:positionV relativeFrom="paragraph">
              <wp:posOffset>1055370</wp:posOffset>
            </wp:positionV>
            <wp:extent cx="2391410" cy="251460"/>
            <wp:effectExtent l="0" t="0" r="0" b="254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1410" cy="251460"/>
                    </a:xfrm>
                    <a:prstGeom prst="rect">
                      <a:avLst/>
                    </a:prstGeom>
                    <a:noFill/>
                  </pic:spPr>
                </pic:pic>
              </a:graphicData>
            </a:graphic>
            <wp14:sizeRelH relativeFrom="page">
              <wp14:pctWidth>0</wp14:pctWidth>
            </wp14:sizeRelH>
            <wp14:sizeRelV relativeFrom="page">
              <wp14:pctHeight>0</wp14:pctHeight>
            </wp14:sizeRelV>
          </wp:anchor>
        </w:drawing>
      </w:r>
      <w:r w:rsidR="00634088" w:rsidRPr="008E1ACA">
        <w:rPr>
          <w:rFonts w:cs="Arial"/>
          <w:bCs/>
          <w:color w:val="808080" w:themeColor="background1" w:themeShade="80"/>
        </w:rPr>
        <w:t>This consultant’s report does not necessarily reflect the views of ADB or the Government concerned, and ADB and the Government cannot be held liable for its contents.  (For project preparatory technical assistance: All the views expressed herein may not be incorporated into the proposed project’s design</w:t>
      </w:r>
      <w:r w:rsidRPr="008E1ACA">
        <w:rPr>
          <w:rFonts w:cs="Arial"/>
          <w:bCs/>
          <w:color w:val="808080" w:themeColor="background1" w:themeShade="80"/>
        </w:rPr>
        <w:t>.</w:t>
      </w:r>
    </w:p>
    <w:p w14:paraId="36297A36" w14:textId="77777777" w:rsidR="00BB7E11" w:rsidRPr="008E1ACA" w:rsidRDefault="00BB7E11" w:rsidP="00634088">
      <w:pPr>
        <w:jc w:val="center"/>
        <w:rPr>
          <w:rFonts w:cs="Arial"/>
          <w:b/>
          <w:color w:val="808080" w:themeColor="background1" w:themeShade="80"/>
        </w:rPr>
      </w:pPr>
    </w:p>
    <w:p w14:paraId="2FA11511" w14:textId="77777777" w:rsidR="00280B9B" w:rsidRDefault="00280B9B" w:rsidP="00EF44B9">
      <w:pPr>
        <w:rPr>
          <w:rFonts w:cs="Arial"/>
          <w:b/>
        </w:rPr>
        <w:sectPr w:rsidR="00280B9B" w:rsidSect="00D84E07">
          <w:headerReference w:type="even" r:id="rId11"/>
          <w:headerReference w:type="default" r:id="rId12"/>
          <w:footerReference w:type="even" r:id="rId13"/>
          <w:footerReference w:type="default" r:id="rId14"/>
          <w:pgSz w:w="12240" w:h="15840"/>
          <w:pgMar w:top="1440" w:right="1440" w:bottom="1440" w:left="1440" w:header="720" w:footer="720" w:gutter="0"/>
          <w:pgNumType w:fmt="lowerRoman" w:start="1"/>
          <w:cols w:space="720"/>
          <w:titlePg/>
          <w:docGrid w:linePitch="360"/>
        </w:sectPr>
      </w:pPr>
    </w:p>
    <w:p w14:paraId="77F4886B" w14:textId="0BD6199B" w:rsidR="00147507" w:rsidRPr="00437A15" w:rsidRDefault="00715DD6" w:rsidP="008E1ACA">
      <w:pPr>
        <w:jc w:val="center"/>
        <w:rPr>
          <w:rFonts w:cs="Arial"/>
          <w:b/>
        </w:rPr>
      </w:pPr>
      <w:r w:rsidRPr="00437A15">
        <w:rPr>
          <w:rFonts w:cs="Arial"/>
          <w:b/>
        </w:rPr>
        <w:lastRenderedPageBreak/>
        <w:t>CURRENCY EQUIVALENTS</w:t>
      </w:r>
    </w:p>
    <w:p w14:paraId="3888E89B" w14:textId="204CC4AF" w:rsidR="00634088" w:rsidRPr="00F31727" w:rsidRDefault="00BB7E11" w:rsidP="00634088">
      <w:pPr>
        <w:jc w:val="center"/>
        <w:rPr>
          <w:rFonts w:cs="Arial"/>
        </w:rPr>
      </w:pPr>
      <w:r w:rsidRPr="00F31727">
        <w:rPr>
          <w:rFonts w:cs="Arial"/>
        </w:rPr>
        <w:t xml:space="preserve">(as of </w:t>
      </w:r>
      <w:r w:rsidR="0094354C">
        <w:rPr>
          <w:rFonts w:cs="Arial"/>
        </w:rPr>
        <w:t>December</w:t>
      </w:r>
      <w:r w:rsidR="00662C14">
        <w:rPr>
          <w:rFonts w:cs="Arial"/>
        </w:rPr>
        <w:t xml:space="preserve"> 2017</w:t>
      </w:r>
      <w:r w:rsidR="00634088" w:rsidRPr="00F31727">
        <w:rPr>
          <w:rFonts w:cs="Arial"/>
        </w:rPr>
        <w:t xml:space="preserve">)      </w:t>
      </w:r>
    </w:p>
    <w:p w14:paraId="4E145B65" w14:textId="77777777" w:rsidR="008E1ACA" w:rsidRPr="00A70755" w:rsidRDefault="008E1ACA" w:rsidP="00634088">
      <w:pPr>
        <w:jc w:val="center"/>
        <w:rPr>
          <w:rFonts w:cs="Arial"/>
        </w:rPr>
      </w:pPr>
    </w:p>
    <w:p w14:paraId="7750484A" w14:textId="4C7D969F" w:rsidR="00634088" w:rsidRPr="00A70755" w:rsidRDefault="00603912" w:rsidP="00603912">
      <w:pPr>
        <w:rPr>
          <w:rFonts w:cs="Arial"/>
        </w:rPr>
      </w:pPr>
      <w:r>
        <w:rPr>
          <w:rFonts w:cs="Arial"/>
        </w:rPr>
        <w:t xml:space="preserve">                                                        Currency Unit –   </w:t>
      </w:r>
      <w:r w:rsidR="009254B9">
        <w:rPr>
          <w:rFonts w:cs="Arial"/>
        </w:rPr>
        <w:t>Dram (AMD)</w:t>
      </w:r>
    </w:p>
    <w:p w14:paraId="5DF231BF" w14:textId="16215D89" w:rsidR="00634088" w:rsidRPr="00A70755" w:rsidRDefault="0062256A" w:rsidP="0062256A">
      <w:pPr>
        <w:rPr>
          <w:rFonts w:cs="Arial"/>
        </w:rPr>
      </w:pPr>
      <w:r>
        <w:rPr>
          <w:rFonts w:cs="Arial"/>
        </w:rPr>
        <w:t xml:space="preserve">                              </w:t>
      </w:r>
      <w:r w:rsidR="00BF755D">
        <w:rPr>
          <w:rFonts w:cs="Arial"/>
        </w:rPr>
        <w:t xml:space="preserve">  </w:t>
      </w:r>
      <w:r w:rsidR="00E74879">
        <w:rPr>
          <w:rFonts w:cs="Arial"/>
        </w:rPr>
        <w:t xml:space="preserve">                          </w:t>
      </w:r>
      <w:r w:rsidR="009254B9">
        <w:rPr>
          <w:rFonts w:cs="Arial"/>
        </w:rPr>
        <w:t>AMD</w:t>
      </w:r>
      <w:r>
        <w:rPr>
          <w:rFonts w:cs="Arial"/>
        </w:rPr>
        <w:t xml:space="preserve">1.00    </w:t>
      </w:r>
      <w:r w:rsidR="00634088" w:rsidRPr="00A70755">
        <w:rPr>
          <w:rFonts w:cs="Arial"/>
        </w:rPr>
        <w:t xml:space="preserve"> =</w:t>
      </w:r>
      <w:r>
        <w:rPr>
          <w:rFonts w:cs="Arial"/>
        </w:rPr>
        <w:t xml:space="preserve"> </w:t>
      </w:r>
      <w:r w:rsidR="00BF755D">
        <w:rPr>
          <w:rFonts w:cs="Arial"/>
        </w:rPr>
        <w:t xml:space="preserve">   0.00</w:t>
      </w:r>
      <w:r w:rsidR="0025699F">
        <w:rPr>
          <w:rFonts w:cs="Arial"/>
        </w:rPr>
        <w:t>2</w:t>
      </w:r>
      <w:r w:rsidR="00437A15" w:rsidRPr="00A70755">
        <w:rPr>
          <w:rFonts w:cs="Arial"/>
        </w:rPr>
        <w:t xml:space="preserve"> </w:t>
      </w:r>
      <w:r w:rsidR="00634088" w:rsidRPr="00A70755">
        <w:rPr>
          <w:rFonts w:cs="Arial"/>
        </w:rPr>
        <w:t>$</w:t>
      </w:r>
    </w:p>
    <w:p w14:paraId="2F6B57C3" w14:textId="528E9B1D" w:rsidR="00634088" w:rsidRPr="00A70755" w:rsidRDefault="0062256A" w:rsidP="00603912">
      <w:pPr>
        <w:rPr>
          <w:rFonts w:cs="Arial"/>
        </w:rPr>
      </w:pPr>
      <w:r>
        <w:rPr>
          <w:rFonts w:cs="Arial"/>
        </w:rPr>
        <w:t xml:space="preserve">                                                    </w:t>
      </w:r>
      <w:r w:rsidR="00525E54">
        <w:rPr>
          <w:rFonts w:cs="Arial"/>
        </w:rPr>
        <w:t xml:space="preserve">            $1.00    </w:t>
      </w:r>
      <w:r w:rsidR="00603912">
        <w:rPr>
          <w:rFonts w:cs="Arial"/>
        </w:rPr>
        <w:t xml:space="preserve"> =    </w:t>
      </w:r>
      <w:r w:rsidR="0025699F">
        <w:rPr>
          <w:rFonts w:cs="Arial"/>
        </w:rPr>
        <w:t>484</w:t>
      </w:r>
      <w:r w:rsidR="00BF755D">
        <w:rPr>
          <w:rFonts w:cs="Arial"/>
        </w:rPr>
        <w:t>.</w:t>
      </w:r>
      <w:r w:rsidR="0025699F">
        <w:rPr>
          <w:rFonts w:cs="Arial"/>
        </w:rPr>
        <w:t>1</w:t>
      </w:r>
      <w:r w:rsidR="00BF755D">
        <w:rPr>
          <w:rFonts w:cs="Arial"/>
        </w:rPr>
        <w:t xml:space="preserve">0 </w:t>
      </w:r>
      <w:r w:rsidR="009254B9">
        <w:rPr>
          <w:rFonts w:cs="Arial"/>
        </w:rPr>
        <w:t>AMD</w:t>
      </w:r>
      <w:r w:rsidR="00662C14">
        <w:rPr>
          <w:rFonts w:cs="Arial"/>
        </w:rPr>
        <w:t xml:space="preserve"> </w:t>
      </w:r>
    </w:p>
    <w:p w14:paraId="178F4DFD" w14:textId="77777777" w:rsidR="00634088" w:rsidRPr="00A70755" w:rsidRDefault="00634088" w:rsidP="00634088">
      <w:pPr>
        <w:jc w:val="center"/>
        <w:rPr>
          <w:rFonts w:cs="Arial"/>
        </w:rPr>
      </w:pPr>
    </w:p>
    <w:p w14:paraId="35BA3FBB" w14:textId="77777777" w:rsidR="00B72B39" w:rsidRPr="00A70755" w:rsidRDefault="00B72B39">
      <w:pPr>
        <w:rPr>
          <w:rFonts w:cs="Arial"/>
          <w:b/>
        </w:rPr>
      </w:pPr>
    </w:p>
    <w:p w14:paraId="62D68AEB" w14:textId="77777777" w:rsidR="0063643A" w:rsidRPr="00A70755" w:rsidRDefault="0063643A">
      <w:pPr>
        <w:rPr>
          <w:rFonts w:cs="Arial"/>
          <w:b/>
        </w:rPr>
      </w:pPr>
    </w:p>
    <w:p w14:paraId="1005785F" w14:textId="46E5149C" w:rsidR="00B72B39" w:rsidRPr="00A70755" w:rsidRDefault="00715DD6" w:rsidP="00634088">
      <w:pPr>
        <w:jc w:val="center"/>
        <w:rPr>
          <w:rFonts w:cs="Arial"/>
          <w:b/>
          <w:sz w:val="24"/>
          <w:szCs w:val="24"/>
        </w:rPr>
      </w:pPr>
      <w:r w:rsidRPr="00A70755">
        <w:rPr>
          <w:rFonts w:cs="Arial"/>
          <w:b/>
          <w:sz w:val="24"/>
          <w:szCs w:val="24"/>
        </w:rPr>
        <w:t>ABBREVIATIONS</w:t>
      </w:r>
    </w:p>
    <w:p w14:paraId="0A595D72" w14:textId="77777777" w:rsidR="00B72B39" w:rsidRPr="00A70755" w:rsidRDefault="00B72B39" w:rsidP="00B72B39">
      <w:pPr>
        <w:rPr>
          <w:rFonts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7"/>
        <w:gridCol w:w="1167"/>
        <w:gridCol w:w="5942"/>
      </w:tblGrid>
      <w:tr w:rsidR="00ED293E" w:rsidRPr="00A70755" w14:paraId="549C5B61" w14:textId="77777777" w:rsidTr="001C1E53">
        <w:trPr>
          <w:jc w:val="center"/>
        </w:trPr>
        <w:tc>
          <w:tcPr>
            <w:tcW w:w="1207" w:type="dxa"/>
          </w:tcPr>
          <w:p w14:paraId="054397BE" w14:textId="5E95A456" w:rsidR="00ED293E" w:rsidRPr="00A70755" w:rsidRDefault="00ED293E" w:rsidP="00ED293E">
            <w:pPr>
              <w:rPr>
                <w:rFonts w:cs="Arial"/>
                <w:b/>
              </w:rPr>
            </w:pPr>
            <w:r w:rsidRPr="00A70755">
              <w:rPr>
                <w:rFonts w:cs="Arial"/>
              </w:rPr>
              <w:t>ADB</w:t>
            </w:r>
          </w:p>
        </w:tc>
        <w:tc>
          <w:tcPr>
            <w:tcW w:w="1167" w:type="dxa"/>
          </w:tcPr>
          <w:p w14:paraId="0D2115E4" w14:textId="6E678BAC" w:rsidR="00ED293E" w:rsidRPr="00A70755" w:rsidRDefault="00ED293E" w:rsidP="00ED293E">
            <w:pPr>
              <w:jc w:val="center"/>
              <w:rPr>
                <w:rFonts w:cs="Arial"/>
                <w:b/>
              </w:rPr>
            </w:pPr>
            <w:r w:rsidRPr="00A70755">
              <w:t>–</w:t>
            </w:r>
          </w:p>
        </w:tc>
        <w:tc>
          <w:tcPr>
            <w:tcW w:w="5942" w:type="dxa"/>
          </w:tcPr>
          <w:p w14:paraId="49517257" w14:textId="60BE7B05" w:rsidR="00ED293E" w:rsidRPr="00A70755" w:rsidRDefault="00ED293E" w:rsidP="00ED293E">
            <w:pPr>
              <w:rPr>
                <w:rFonts w:cs="Arial"/>
                <w:b/>
              </w:rPr>
            </w:pPr>
            <w:r w:rsidRPr="00A70755">
              <w:rPr>
                <w:rFonts w:cs="Arial"/>
              </w:rPr>
              <w:t>Asian Development Bank</w:t>
            </w:r>
          </w:p>
        </w:tc>
      </w:tr>
      <w:tr w:rsidR="002973B7" w:rsidRPr="00A70755" w14:paraId="530CD181" w14:textId="77777777" w:rsidTr="001C1E53">
        <w:trPr>
          <w:jc w:val="center"/>
        </w:trPr>
        <w:tc>
          <w:tcPr>
            <w:tcW w:w="1207" w:type="dxa"/>
          </w:tcPr>
          <w:p w14:paraId="01D9E021" w14:textId="483A5961" w:rsidR="002973B7" w:rsidRPr="00A70755" w:rsidRDefault="002973B7" w:rsidP="00ED293E">
            <w:pPr>
              <w:rPr>
                <w:rFonts w:cs="Arial"/>
              </w:rPr>
            </w:pPr>
            <w:r>
              <w:rPr>
                <w:rFonts w:cs="Arial"/>
              </w:rPr>
              <w:t>AMD</w:t>
            </w:r>
          </w:p>
        </w:tc>
        <w:tc>
          <w:tcPr>
            <w:tcW w:w="1167" w:type="dxa"/>
          </w:tcPr>
          <w:p w14:paraId="1E77F642" w14:textId="4F9AE367" w:rsidR="002973B7" w:rsidRPr="00A70755" w:rsidRDefault="002973B7" w:rsidP="00ED293E">
            <w:pPr>
              <w:jc w:val="center"/>
            </w:pPr>
            <w:r>
              <w:t>-</w:t>
            </w:r>
          </w:p>
        </w:tc>
        <w:tc>
          <w:tcPr>
            <w:tcW w:w="5942" w:type="dxa"/>
          </w:tcPr>
          <w:p w14:paraId="7B2EF228" w14:textId="3EBD07F4" w:rsidR="002973B7" w:rsidRPr="00A70755" w:rsidRDefault="002973B7" w:rsidP="00ED293E">
            <w:pPr>
              <w:rPr>
                <w:rFonts w:cs="Arial"/>
              </w:rPr>
            </w:pPr>
            <w:r>
              <w:rPr>
                <w:rFonts w:cs="Arial"/>
              </w:rPr>
              <w:t>Armenia</w:t>
            </w:r>
            <w:r w:rsidR="00435205">
              <w:rPr>
                <w:rFonts w:cs="Arial"/>
              </w:rPr>
              <w:t>n Dram</w:t>
            </w:r>
          </w:p>
        </w:tc>
      </w:tr>
      <w:tr w:rsidR="00BF755D" w:rsidRPr="00A70755" w14:paraId="7907286A" w14:textId="77777777" w:rsidTr="001C1E53">
        <w:trPr>
          <w:jc w:val="center"/>
        </w:trPr>
        <w:tc>
          <w:tcPr>
            <w:tcW w:w="1207" w:type="dxa"/>
          </w:tcPr>
          <w:p w14:paraId="0A52C68E" w14:textId="3F498ED1" w:rsidR="00BF755D" w:rsidRPr="00A70755" w:rsidRDefault="00BF755D" w:rsidP="00ED293E">
            <w:pPr>
              <w:rPr>
                <w:rFonts w:cs="Arial"/>
              </w:rPr>
            </w:pPr>
            <w:r>
              <w:rPr>
                <w:rFonts w:cs="Arial"/>
              </w:rPr>
              <w:t>CB</w:t>
            </w:r>
            <w:r w:rsidR="002973B7">
              <w:rPr>
                <w:rFonts w:cs="Arial"/>
              </w:rPr>
              <w:t>A</w:t>
            </w:r>
          </w:p>
        </w:tc>
        <w:tc>
          <w:tcPr>
            <w:tcW w:w="1167" w:type="dxa"/>
          </w:tcPr>
          <w:p w14:paraId="2497E398" w14:textId="48B45473" w:rsidR="00BF755D" w:rsidRPr="00A70755" w:rsidRDefault="00DB20DE" w:rsidP="00ED293E">
            <w:pPr>
              <w:jc w:val="center"/>
            </w:pPr>
            <w:r w:rsidRPr="00A70755">
              <w:t>–</w:t>
            </w:r>
          </w:p>
        </w:tc>
        <w:tc>
          <w:tcPr>
            <w:tcW w:w="5942" w:type="dxa"/>
          </w:tcPr>
          <w:p w14:paraId="720305EC" w14:textId="6FC2A034" w:rsidR="00BF755D" w:rsidRPr="00A70755" w:rsidRDefault="00BF755D" w:rsidP="00ED293E">
            <w:pPr>
              <w:rPr>
                <w:rFonts w:cs="Arial"/>
              </w:rPr>
            </w:pPr>
            <w:r>
              <w:rPr>
                <w:rFonts w:cs="Arial"/>
              </w:rPr>
              <w:t xml:space="preserve">Central Bank of </w:t>
            </w:r>
            <w:r w:rsidR="002973B7">
              <w:rPr>
                <w:rFonts w:cs="Arial"/>
              </w:rPr>
              <w:t>Armenia</w:t>
            </w:r>
          </w:p>
        </w:tc>
      </w:tr>
      <w:tr w:rsidR="00BF755D" w:rsidRPr="00A70755" w14:paraId="66C4D3A4" w14:textId="77777777" w:rsidTr="001C1E53">
        <w:trPr>
          <w:jc w:val="center"/>
        </w:trPr>
        <w:tc>
          <w:tcPr>
            <w:tcW w:w="1207" w:type="dxa"/>
          </w:tcPr>
          <w:p w14:paraId="5E92DA66" w14:textId="33964DC6" w:rsidR="00BF755D" w:rsidRPr="00A70755" w:rsidRDefault="00BF755D" w:rsidP="00ED293E">
            <w:pPr>
              <w:rPr>
                <w:rFonts w:cs="Arial"/>
              </w:rPr>
            </w:pPr>
            <w:r>
              <w:rPr>
                <w:rFonts w:cs="Arial"/>
              </w:rPr>
              <w:t>DM</w:t>
            </w:r>
            <w:r w:rsidR="002973B7">
              <w:rPr>
                <w:rFonts w:cs="Arial"/>
              </w:rPr>
              <w:t>FAS</w:t>
            </w:r>
          </w:p>
        </w:tc>
        <w:tc>
          <w:tcPr>
            <w:tcW w:w="1167" w:type="dxa"/>
          </w:tcPr>
          <w:p w14:paraId="42D1538C" w14:textId="0767A47D" w:rsidR="00BF755D" w:rsidRPr="00A70755" w:rsidRDefault="00BF755D" w:rsidP="00ED293E">
            <w:pPr>
              <w:jc w:val="center"/>
            </w:pPr>
            <w:r w:rsidRPr="00A70755">
              <w:t>–</w:t>
            </w:r>
          </w:p>
        </w:tc>
        <w:tc>
          <w:tcPr>
            <w:tcW w:w="5942" w:type="dxa"/>
          </w:tcPr>
          <w:p w14:paraId="737EE930" w14:textId="5F99C34F" w:rsidR="00BF755D" w:rsidRPr="00A70755" w:rsidRDefault="00BF755D" w:rsidP="00ED293E">
            <w:pPr>
              <w:rPr>
                <w:rFonts w:cs="Arial"/>
              </w:rPr>
            </w:pPr>
            <w:r>
              <w:rPr>
                <w:rFonts w:cs="Arial"/>
              </w:rPr>
              <w:t xml:space="preserve">Debt Management </w:t>
            </w:r>
            <w:r w:rsidR="002973B7">
              <w:rPr>
                <w:rFonts w:cs="Arial"/>
              </w:rPr>
              <w:t>and Financial Accounting System</w:t>
            </w:r>
          </w:p>
        </w:tc>
      </w:tr>
      <w:tr w:rsidR="00453CBE" w:rsidRPr="00A70755" w:rsidDel="00453CBE" w14:paraId="5673ECA0" w14:textId="77777777" w:rsidTr="001C1E53">
        <w:trPr>
          <w:jc w:val="center"/>
        </w:trPr>
        <w:tc>
          <w:tcPr>
            <w:tcW w:w="1207" w:type="dxa"/>
          </w:tcPr>
          <w:p w14:paraId="1D7994E6" w14:textId="78307364" w:rsidR="00453CBE" w:rsidDel="00453CBE" w:rsidRDefault="00453CBE" w:rsidP="00ED293E">
            <w:pPr>
              <w:rPr>
                <w:rFonts w:cs="Arial"/>
              </w:rPr>
            </w:pPr>
            <w:r>
              <w:rPr>
                <w:rFonts w:cs="Arial"/>
              </w:rPr>
              <w:t>EU</w:t>
            </w:r>
          </w:p>
        </w:tc>
        <w:tc>
          <w:tcPr>
            <w:tcW w:w="1167" w:type="dxa"/>
          </w:tcPr>
          <w:p w14:paraId="5C51F014" w14:textId="75C7C819" w:rsidR="00453CBE" w:rsidDel="00453CBE" w:rsidRDefault="00453CBE" w:rsidP="00ED293E">
            <w:pPr>
              <w:jc w:val="center"/>
            </w:pPr>
            <w:r>
              <w:t>-</w:t>
            </w:r>
          </w:p>
        </w:tc>
        <w:tc>
          <w:tcPr>
            <w:tcW w:w="5942" w:type="dxa"/>
          </w:tcPr>
          <w:p w14:paraId="4E7415C4" w14:textId="59D9EF58" w:rsidR="00453CBE" w:rsidDel="00453CBE" w:rsidRDefault="00453CBE" w:rsidP="00ED293E">
            <w:pPr>
              <w:rPr>
                <w:rFonts w:cs="Arial"/>
              </w:rPr>
            </w:pPr>
            <w:r>
              <w:rPr>
                <w:rFonts w:cs="Arial"/>
              </w:rPr>
              <w:t>European Union</w:t>
            </w:r>
          </w:p>
        </w:tc>
      </w:tr>
      <w:tr w:rsidR="002973B7" w:rsidRPr="00A70755" w14:paraId="15FD0B98" w14:textId="77777777" w:rsidTr="001C1E53">
        <w:trPr>
          <w:jc w:val="center"/>
        </w:trPr>
        <w:tc>
          <w:tcPr>
            <w:tcW w:w="1207" w:type="dxa"/>
          </w:tcPr>
          <w:p w14:paraId="546D82DC" w14:textId="52924DF5" w:rsidR="002973B7" w:rsidRPr="00A70755" w:rsidRDefault="002973B7" w:rsidP="00ED293E">
            <w:pPr>
              <w:rPr>
                <w:rFonts w:cs="Arial"/>
              </w:rPr>
            </w:pPr>
            <w:r>
              <w:rPr>
                <w:rFonts w:cs="Arial"/>
              </w:rPr>
              <w:t>G-Sec</w:t>
            </w:r>
          </w:p>
        </w:tc>
        <w:tc>
          <w:tcPr>
            <w:tcW w:w="1167" w:type="dxa"/>
          </w:tcPr>
          <w:p w14:paraId="084212E2" w14:textId="2CB6A552" w:rsidR="002973B7" w:rsidRPr="00A70755" w:rsidRDefault="002973B7" w:rsidP="00ED293E">
            <w:pPr>
              <w:jc w:val="center"/>
            </w:pPr>
            <w:r>
              <w:t>-</w:t>
            </w:r>
          </w:p>
        </w:tc>
        <w:tc>
          <w:tcPr>
            <w:tcW w:w="5942" w:type="dxa"/>
          </w:tcPr>
          <w:p w14:paraId="69DB1D39" w14:textId="5F2B3C55" w:rsidR="002973B7" w:rsidRPr="00A70755" w:rsidRDefault="002973B7" w:rsidP="00ED293E">
            <w:pPr>
              <w:rPr>
                <w:rFonts w:cs="Arial"/>
              </w:rPr>
            </w:pPr>
            <w:r>
              <w:rPr>
                <w:rFonts w:cs="Arial"/>
              </w:rPr>
              <w:t>Government Securities</w:t>
            </w:r>
          </w:p>
        </w:tc>
      </w:tr>
      <w:tr w:rsidR="002973B7" w:rsidRPr="00A70755" w14:paraId="733CF1B6" w14:textId="77777777" w:rsidTr="001C1E53">
        <w:trPr>
          <w:jc w:val="center"/>
        </w:trPr>
        <w:tc>
          <w:tcPr>
            <w:tcW w:w="1207" w:type="dxa"/>
          </w:tcPr>
          <w:p w14:paraId="54EE0E34" w14:textId="604BAA7D" w:rsidR="002973B7" w:rsidRPr="00A70755" w:rsidRDefault="002973B7" w:rsidP="00ED293E">
            <w:pPr>
              <w:rPr>
                <w:rFonts w:cs="Arial"/>
              </w:rPr>
            </w:pPr>
            <w:r>
              <w:rPr>
                <w:rFonts w:cs="Arial"/>
              </w:rPr>
              <w:t>ICD</w:t>
            </w:r>
          </w:p>
        </w:tc>
        <w:tc>
          <w:tcPr>
            <w:tcW w:w="1167" w:type="dxa"/>
          </w:tcPr>
          <w:p w14:paraId="4BA3BB67" w14:textId="21B0089E" w:rsidR="002973B7" w:rsidRPr="00A70755" w:rsidRDefault="002973B7" w:rsidP="00ED293E">
            <w:pPr>
              <w:jc w:val="center"/>
            </w:pPr>
            <w:r>
              <w:t>-</w:t>
            </w:r>
          </w:p>
        </w:tc>
        <w:tc>
          <w:tcPr>
            <w:tcW w:w="5942" w:type="dxa"/>
          </w:tcPr>
          <w:p w14:paraId="63594871" w14:textId="09C36866" w:rsidR="002973B7" w:rsidRPr="00A70755" w:rsidRDefault="002973B7" w:rsidP="00ED293E">
            <w:pPr>
              <w:rPr>
                <w:rFonts w:cs="Arial"/>
              </w:rPr>
            </w:pPr>
            <w:r>
              <w:rPr>
                <w:rFonts w:cs="Arial"/>
              </w:rPr>
              <w:t>International Cooperation Department</w:t>
            </w:r>
          </w:p>
        </w:tc>
      </w:tr>
      <w:tr w:rsidR="002973B7" w:rsidRPr="00A70755" w14:paraId="406AA4B1" w14:textId="77777777" w:rsidTr="001C1E53">
        <w:trPr>
          <w:jc w:val="center"/>
        </w:trPr>
        <w:tc>
          <w:tcPr>
            <w:tcW w:w="1207" w:type="dxa"/>
          </w:tcPr>
          <w:p w14:paraId="6F4345C6" w14:textId="4ADC22B3" w:rsidR="002973B7" w:rsidRDefault="002973B7" w:rsidP="00ED293E">
            <w:pPr>
              <w:rPr>
                <w:rFonts w:cs="Arial"/>
              </w:rPr>
            </w:pPr>
            <w:r>
              <w:rPr>
                <w:rFonts w:cs="Arial"/>
              </w:rPr>
              <w:t>PDMD</w:t>
            </w:r>
          </w:p>
        </w:tc>
        <w:tc>
          <w:tcPr>
            <w:tcW w:w="1167" w:type="dxa"/>
          </w:tcPr>
          <w:p w14:paraId="02D8BE56" w14:textId="2FCABF6E" w:rsidR="002973B7" w:rsidRPr="00A70755" w:rsidRDefault="002973B7" w:rsidP="00ED293E">
            <w:pPr>
              <w:jc w:val="center"/>
            </w:pPr>
            <w:r>
              <w:t>-</w:t>
            </w:r>
          </w:p>
        </w:tc>
        <w:tc>
          <w:tcPr>
            <w:tcW w:w="5942" w:type="dxa"/>
          </w:tcPr>
          <w:p w14:paraId="500A9107" w14:textId="1DF324AB" w:rsidR="002973B7" w:rsidRDefault="002973B7" w:rsidP="00ED293E">
            <w:pPr>
              <w:rPr>
                <w:rFonts w:cs="Arial"/>
              </w:rPr>
            </w:pPr>
            <w:r>
              <w:rPr>
                <w:rFonts w:cs="Arial"/>
              </w:rPr>
              <w:t>Public Debt Management Department</w:t>
            </w:r>
          </w:p>
        </w:tc>
      </w:tr>
      <w:tr w:rsidR="00ED293E" w:rsidRPr="00A70755" w14:paraId="4D38EC89" w14:textId="77777777" w:rsidTr="001C1E53">
        <w:trPr>
          <w:jc w:val="center"/>
        </w:trPr>
        <w:tc>
          <w:tcPr>
            <w:tcW w:w="1207" w:type="dxa"/>
          </w:tcPr>
          <w:p w14:paraId="5B15F4B4" w14:textId="03D4D2D7" w:rsidR="00ED293E" w:rsidRPr="00A70755" w:rsidRDefault="00BF755D" w:rsidP="00ED293E">
            <w:pPr>
              <w:rPr>
                <w:rFonts w:cs="Arial"/>
              </w:rPr>
            </w:pPr>
            <w:r>
              <w:rPr>
                <w:rFonts w:cs="Arial"/>
              </w:rPr>
              <w:t>M</w:t>
            </w:r>
            <w:r w:rsidR="002973B7">
              <w:rPr>
                <w:rFonts w:cs="Arial"/>
              </w:rPr>
              <w:t>o</w:t>
            </w:r>
            <w:r>
              <w:rPr>
                <w:rFonts w:cs="Arial"/>
              </w:rPr>
              <w:t>F</w:t>
            </w:r>
          </w:p>
        </w:tc>
        <w:tc>
          <w:tcPr>
            <w:tcW w:w="1167" w:type="dxa"/>
          </w:tcPr>
          <w:p w14:paraId="74597A86" w14:textId="2894AC7E" w:rsidR="00ED293E" w:rsidRPr="00A70755" w:rsidRDefault="00ED293E" w:rsidP="00ED293E">
            <w:pPr>
              <w:jc w:val="center"/>
              <w:rPr>
                <w:rFonts w:cs="Arial"/>
                <w:b/>
              </w:rPr>
            </w:pPr>
            <w:r w:rsidRPr="00A70755">
              <w:t>–</w:t>
            </w:r>
          </w:p>
        </w:tc>
        <w:tc>
          <w:tcPr>
            <w:tcW w:w="5942" w:type="dxa"/>
          </w:tcPr>
          <w:p w14:paraId="27BE5E6B" w14:textId="22E981D2" w:rsidR="00ED293E" w:rsidRPr="00A70755" w:rsidRDefault="00BF755D" w:rsidP="00ED293E">
            <w:pPr>
              <w:rPr>
                <w:rFonts w:cs="Arial"/>
              </w:rPr>
            </w:pPr>
            <w:r>
              <w:rPr>
                <w:rFonts w:cs="Arial"/>
              </w:rPr>
              <w:t>Ministry of Finance</w:t>
            </w:r>
          </w:p>
        </w:tc>
      </w:tr>
      <w:tr w:rsidR="0085757E" w:rsidRPr="00A70755" w14:paraId="2DDFB53B" w14:textId="77777777" w:rsidTr="001C1E53">
        <w:trPr>
          <w:jc w:val="center"/>
        </w:trPr>
        <w:tc>
          <w:tcPr>
            <w:tcW w:w="1207" w:type="dxa"/>
          </w:tcPr>
          <w:p w14:paraId="43297583" w14:textId="05228DBC" w:rsidR="0085757E" w:rsidRDefault="002973B7" w:rsidP="00ED293E">
            <w:pPr>
              <w:rPr>
                <w:rFonts w:cs="Arial"/>
              </w:rPr>
            </w:pPr>
            <w:r>
              <w:rPr>
                <w:rFonts w:cs="Arial"/>
              </w:rPr>
              <w:t>NASDAQ  OMX</w:t>
            </w:r>
          </w:p>
        </w:tc>
        <w:tc>
          <w:tcPr>
            <w:tcW w:w="1167" w:type="dxa"/>
          </w:tcPr>
          <w:p w14:paraId="288E008D" w14:textId="3D6B173A" w:rsidR="0085757E" w:rsidRPr="00A70755" w:rsidRDefault="0085757E" w:rsidP="00ED293E">
            <w:pPr>
              <w:jc w:val="center"/>
            </w:pPr>
            <w:r w:rsidRPr="00A70755">
              <w:t>–</w:t>
            </w:r>
          </w:p>
        </w:tc>
        <w:tc>
          <w:tcPr>
            <w:tcW w:w="5942" w:type="dxa"/>
          </w:tcPr>
          <w:p w14:paraId="6AB7F284" w14:textId="57BCF8BC" w:rsidR="0085757E" w:rsidRDefault="002973B7" w:rsidP="00ED293E">
            <w:pPr>
              <w:rPr>
                <w:rFonts w:cs="Arial"/>
              </w:rPr>
            </w:pPr>
            <w:r>
              <w:rPr>
                <w:rFonts w:cs="Arial"/>
              </w:rPr>
              <w:t>NASDAQ Stock Exchange Armenia</w:t>
            </w:r>
          </w:p>
        </w:tc>
      </w:tr>
      <w:tr w:rsidR="00ED293E" w:rsidRPr="00A70755" w14:paraId="67174AE6" w14:textId="77777777" w:rsidTr="001C1E53">
        <w:trPr>
          <w:jc w:val="center"/>
        </w:trPr>
        <w:tc>
          <w:tcPr>
            <w:tcW w:w="1207" w:type="dxa"/>
          </w:tcPr>
          <w:p w14:paraId="091068AE" w14:textId="007B3BF3" w:rsidR="00ED293E" w:rsidRPr="00A70755" w:rsidRDefault="00ED293E" w:rsidP="00ED293E">
            <w:pPr>
              <w:rPr>
                <w:rFonts w:cs="Arial"/>
              </w:rPr>
            </w:pPr>
            <w:r w:rsidRPr="00A70755">
              <w:rPr>
                <w:rFonts w:cs="Arial"/>
              </w:rPr>
              <w:t>MTDS</w:t>
            </w:r>
          </w:p>
        </w:tc>
        <w:tc>
          <w:tcPr>
            <w:tcW w:w="1167" w:type="dxa"/>
          </w:tcPr>
          <w:p w14:paraId="558C87F1" w14:textId="1E7ABB57" w:rsidR="00ED293E" w:rsidRPr="00A70755" w:rsidRDefault="00ED293E" w:rsidP="00ED293E">
            <w:pPr>
              <w:jc w:val="center"/>
              <w:rPr>
                <w:rFonts w:cs="Arial"/>
                <w:b/>
              </w:rPr>
            </w:pPr>
            <w:r w:rsidRPr="00A70755">
              <w:t>–</w:t>
            </w:r>
          </w:p>
        </w:tc>
        <w:tc>
          <w:tcPr>
            <w:tcW w:w="5942" w:type="dxa"/>
          </w:tcPr>
          <w:p w14:paraId="0B481341" w14:textId="2B4BAD7E" w:rsidR="00ED293E" w:rsidRPr="00A70755" w:rsidRDefault="0069373B" w:rsidP="00ED293E">
            <w:pPr>
              <w:rPr>
                <w:rFonts w:cs="Arial"/>
              </w:rPr>
            </w:pPr>
            <w:r>
              <w:rPr>
                <w:rFonts w:cs="Arial"/>
              </w:rPr>
              <w:t>Medium-</w:t>
            </w:r>
            <w:r w:rsidR="00ED293E" w:rsidRPr="00A70755">
              <w:rPr>
                <w:rFonts w:cs="Arial"/>
              </w:rPr>
              <w:t xml:space="preserve">Term Debt </w:t>
            </w:r>
            <w:r>
              <w:rPr>
                <w:rFonts w:cs="Arial"/>
              </w:rPr>
              <w:t xml:space="preserve">Management </w:t>
            </w:r>
            <w:r w:rsidR="00ED293E" w:rsidRPr="00A70755">
              <w:rPr>
                <w:rFonts w:cs="Arial"/>
              </w:rPr>
              <w:t>Strategy</w:t>
            </w:r>
          </w:p>
        </w:tc>
      </w:tr>
      <w:tr w:rsidR="00ED293E" w:rsidRPr="00A70755" w14:paraId="07760A70" w14:textId="77777777" w:rsidTr="001C1E53">
        <w:trPr>
          <w:jc w:val="center"/>
        </w:trPr>
        <w:tc>
          <w:tcPr>
            <w:tcW w:w="1207" w:type="dxa"/>
          </w:tcPr>
          <w:p w14:paraId="3370E5B2" w14:textId="67A98CAE" w:rsidR="00ED293E" w:rsidRPr="00A70755" w:rsidRDefault="00ED293E" w:rsidP="00ED293E">
            <w:pPr>
              <w:rPr>
                <w:rFonts w:cs="Arial"/>
              </w:rPr>
            </w:pPr>
            <w:r w:rsidRPr="00A70755">
              <w:rPr>
                <w:rFonts w:cs="Arial"/>
              </w:rPr>
              <w:t>TA</w:t>
            </w:r>
          </w:p>
        </w:tc>
        <w:tc>
          <w:tcPr>
            <w:tcW w:w="1167" w:type="dxa"/>
          </w:tcPr>
          <w:p w14:paraId="0D28A6DF" w14:textId="17ED51E0" w:rsidR="00ED293E" w:rsidRPr="00A70755" w:rsidRDefault="00ED293E" w:rsidP="00ED293E">
            <w:pPr>
              <w:jc w:val="center"/>
              <w:rPr>
                <w:rFonts w:cs="Arial"/>
                <w:b/>
              </w:rPr>
            </w:pPr>
            <w:r w:rsidRPr="00A70755">
              <w:t>–</w:t>
            </w:r>
          </w:p>
        </w:tc>
        <w:tc>
          <w:tcPr>
            <w:tcW w:w="5942" w:type="dxa"/>
          </w:tcPr>
          <w:p w14:paraId="6B967E3E" w14:textId="0C3D2C19" w:rsidR="00ED293E" w:rsidRPr="00A70755" w:rsidRDefault="00ED293E" w:rsidP="00ED293E">
            <w:pPr>
              <w:rPr>
                <w:rFonts w:cs="Arial"/>
              </w:rPr>
            </w:pPr>
            <w:r w:rsidRPr="00A70755">
              <w:rPr>
                <w:rFonts w:cs="Arial"/>
              </w:rPr>
              <w:t>Technical Assistance</w:t>
            </w:r>
          </w:p>
        </w:tc>
      </w:tr>
      <w:tr w:rsidR="00ED293E" w:rsidRPr="00A70755" w14:paraId="4EECE932" w14:textId="77777777" w:rsidTr="001C1E53">
        <w:trPr>
          <w:jc w:val="center"/>
        </w:trPr>
        <w:tc>
          <w:tcPr>
            <w:tcW w:w="1207" w:type="dxa"/>
          </w:tcPr>
          <w:p w14:paraId="5770EC6D" w14:textId="233372AF" w:rsidR="00ED293E" w:rsidRPr="00A70755" w:rsidRDefault="00ED293E" w:rsidP="00ED293E">
            <w:pPr>
              <w:rPr>
                <w:rFonts w:cs="Arial"/>
              </w:rPr>
            </w:pPr>
            <w:r w:rsidRPr="00A70755">
              <w:rPr>
                <w:rFonts w:cs="Arial"/>
              </w:rPr>
              <w:t xml:space="preserve">T-bills           </w:t>
            </w:r>
          </w:p>
        </w:tc>
        <w:tc>
          <w:tcPr>
            <w:tcW w:w="1167" w:type="dxa"/>
          </w:tcPr>
          <w:p w14:paraId="222B006B" w14:textId="47F355D2" w:rsidR="00ED293E" w:rsidRPr="00A70755" w:rsidRDefault="00ED293E" w:rsidP="00ED293E">
            <w:pPr>
              <w:jc w:val="center"/>
              <w:rPr>
                <w:rFonts w:cs="Arial"/>
                <w:b/>
              </w:rPr>
            </w:pPr>
            <w:r w:rsidRPr="00A70755">
              <w:t>–</w:t>
            </w:r>
          </w:p>
        </w:tc>
        <w:tc>
          <w:tcPr>
            <w:tcW w:w="5942" w:type="dxa"/>
          </w:tcPr>
          <w:p w14:paraId="66BBD525" w14:textId="3BAF1A3F" w:rsidR="00ED293E" w:rsidRPr="00A70755" w:rsidRDefault="00ED293E" w:rsidP="00ED293E">
            <w:pPr>
              <w:rPr>
                <w:rFonts w:cs="Arial"/>
              </w:rPr>
            </w:pPr>
            <w:r w:rsidRPr="00A70755">
              <w:rPr>
                <w:rFonts w:cs="Arial"/>
              </w:rPr>
              <w:t>Treasury Bills</w:t>
            </w:r>
          </w:p>
        </w:tc>
      </w:tr>
      <w:tr w:rsidR="00ED293E" w:rsidRPr="00A70755" w14:paraId="1134114E" w14:textId="77777777" w:rsidTr="001C1E53">
        <w:trPr>
          <w:jc w:val="center"/>
        </w:trPr>
        <w:tc>
          <w:tcPr>
            <w:tcW w:w="1207" w:type="dxa"/>
          </w:tcPr>
          <w:p w14:paraId="71BB0D8F" w14:textId="5CA07C03" w:rsidR="00ED293E" w:rsidRPr="00A70755" w:rsidRDefault="00ED293E" w:rsidP="00ED293E">
            <w:pPr>
              <w:rPr>
                <w:rFonts w:cs="Arial"/>
              </w:rPr>
            </w:pPr>
            <w:r w:rsidRPr="00A70755">
              <w:rPr>
                <w:rFonts w:cs="Arial"/>
              </w:rPr>
              <w:t xml:space="preserve">T-bonds       </w:t>
            </w:r>
          </w:p>
        </w:tc>
        <w:tc>
          <w:tcPr>
            <w:tcW w:w="1167" w:type="dxa"/>
          </w:tcPr>
          <w:p w14:paraId="30042475" w14:textId="5D304017" w:rsidR="00ED293E" w:rsidRPr="00A70755" w:rsidRDefault="00ED293E" w:rsidP="00ED293E">
            <w:pPr>
              <w:jc w:val="center"/>
              <w:rPr>
                <w:rFonts w:cs="Arial"/>
                <w:b/>
              </w:rPr>
            </w:pPr>
            <w:r w:rsidRPr="00A70755">
              <w:t>–</w:t>
            </w:r>
          </w:p>
        </w:tc>
        <w:tc>
          <w:tcPr>
            <w:tcW w:w="5942" w:type="dxa"/>
          </w:tcPr>
          <w:p w14:paraId="29F75992" w14:textId="4F1EE4DF" w:rsidR="00ED293E" w:rsidRPr="00A70755" w:rsidRDefault="00ED293E" w:rsidP="00ED293E">
            <w:pPr>
              <w:rPr>
                <w:rFonts w:cs="Arial"/>
              </w:rPr>
            </w:pPr>
            <w:r w:rsidRPr="00A70755">
              <w:rPr>
                <w:rFonts w:cs="Arial"/>
              </w:rPr>
              <w:t>Treasury Bonds</w:t>
            </w:r>
          </w:p>
        </w:tc>
      </w:tr>
      <w:tr w:rsidR="00ED293E" w:rsidRPr="00A70755" w14:paraId="20C8C867" w14:textId="77777777" w:rsidTr="001C1E53">
        <w:trPr>
          <w:jc w:val="center"/>
        </w:trPr>
        <w:tc>
          <w:tcPr>
            <w:tcW w:w="1207" w:type="dxa"/>
          </w:tcPr>
          <w:p w14:paraId="158899F5" w14:textId="285D0FE4" w:rsidR="00ED293E" w:rsidRPr="00A70755" w:rsidRDefault="00ED293E" w:rsidP="00ED293E">
            <w:pPr>
              <w:rPr>
                <w:rFonts w:cs="Arial"/>
              </w:rPr>
            </w:pPr>
          </w:p>
        </w:tc>
        <w:tc>
          <w:tcPr>
            <w:tcW w:w="1167" w:type="dxa"/>
          </w:tcPr>
          <w:p w14:paraId="3486FD75" w14:textId="13225D2C" w:rsidR="00ED293E" w:rsidRPr="00A70755" w:rsidRDefault="00ED293E" w:rsidP="00ED293E">
            <w:pPr>
              <w:jc w:val="center"/>
              <w:rPr>
                <w:rFonts w:cs="Arial"/>
                <w:b/>
              </w:rPr>
            </w:pPr>
          </w:p>
        </w:tc>
        <w:tc>
          <w:tcPr>
            <w:tcW w:w="5942" w:type="dxa"/>
          </w:tcPr>
          <w:p w14:paraId="39B646D9" w14:textId="3FA76033" w:rsidR="00ED293E" w:rsidRPr="00A70755" w:rsidRDefault="00ED293E" w:rsidP="00ED293E">
            <w:pPr>
              <w:rPr>
                <w:rFonts w:cs="Arial"/>
              </w:rPr>
            </w:pPr>
          </w:p>
        </w:tc>
      </w:tr>
    </w:tbl>
    <w:p w14:paraId="7705E954" w14:textId="77777777" w:rsidR="00634088" w:rsidRPr="00A70755" w:rsidRDefault="00634088" w:rsidP="0032254A">
      <w:pPr>
        <w:rPr>
          <w:rFonts w:cs="Arial"/>
        </w:rPr>
      </w:pPr>
    </w:p>
    <w:p w14:paraId="25B98157" w14:textId="77777777" w:rsidR="004F36E0" w:rsidRPr="00A70755" w:rsidRDefault="004F36E0" w:rsidP="0032254A">
      <w:pPr>
        <w:rPr>
          <w:rFonts w:cs="Arial"/>
        </w:rPr>
      </w:pPr>
    </w:p>
    <w:p w14:paraId="2A541015" w14:textId="77777777" w:rsidR="004F36E0" w:rsidRPr="00A70755" w:rsidRDefault="004F36E0" w:rsidP="001C1E53">
      <w:pPr>
        <w:jc w:val="center"/>
        <w:rPr>
          <w:rFonts w:cs="Arial"/>
          <w:b/>
          <w:sz w:val="24"/>
          <w:szCs w:val="24"/>
        </w:rPr>
      </w:pPr>
      <w:r w:rsidRPr="00A70755">
        <w:rPr>
          <w:rFonts w:cs="Arial"/>
          <w:b/>
          <w:sz w:val="24"/>
          <w:szCs w:val="24"/>
        </w:rPr>
        <w:t>NOTE</w:t>
      </w:r>
    </w:p>
    <w:p w14:paraId="75F9BA56" w14:textId="77777777" w:rsidR="004F36E0" w:rsidRPr="00A70755" w:rsidRDefault="004F36E0" w:rsidP="001C1E53">
      <w:pPr>
        <w:jc w:val="center"/>
        <w:rPr>
          <w:rFonts w:cs="Arial"/>
          <w:b/>
        </w:rPr>
      </w:pPr>
    </w:p>
    <w:p w14:paraId="086E64BD" w14:textId="600571DC" w:rsidR="004F36E0" w:rsidRPr="00A70755" w:rsidRDefault="00A9471F" w:rsidP="00A9471F">
      <w:pPr>
        <w:pStyle w:val="ListParagraph"/>
        <w:ind w:left="1350"/>
        <w:rPr>
          <w:rFonts w:cs="Arial"/>
        </w:rPr>
      </w:pPr>
      <w:r w:rsidRPr="00A70755">
        <w:rPr>
          <w:rFonts w:cs="Arial"/>
        </w:rPr>
        <w:t xml:space="preserve">                            </w:t>
      </w:r>
      <w:r w:rsidR="004F36E0" w:rsidRPr="00A70755">
        <w:rPr>
          <w:rFonts w:cs="Arial"/>
        </w:rPr>
        <w:t>In this report, $ refers to US Dollars</w:t>
      </w:r>
    </w:p>
    <w:p w14:paraId="58A3B9ED" w14:textId="77777777" w:rsidR="004F36E0" w:rsidRPr="00A70755" w:rsidRDefault="004F36E0" w:rsidP="0032254A">
      <w:pPr>
        <w:rPr>
          <w:rFonts w:cs="Arial"/>
        </w:rPr>
      </w:pPr>
    </w:p>
    <w:p w14:paraId="7CA4DD96" w14:textId="310DD5C0" w:rsidR="001900E3" w:rsidRDefault="001900E3">
      <w:pPr>
        <w:rPr>
          <w:rFonts w:cs="Arial"/>
        </w:rPr>
      </w:pPr>
      <w:r>
        <w:rPr>
          <w:rFonts w:cs="Arial"/>
        </w:rPr>
        <w:br w:type="page"/>
      </w:r>
    </w:p>
    <w:p w14:paraId="7330BB0C" w14:textId="77777777" w:rsidR="001900E3" w:rsidRDefault="001900E3" w:rsidP="001900E3">
      <w:pPr>
        <w:pStyle w:val="TOCHeading"/>
      </w:pPr>
      <w:r>
        <w:lastRenderedPageBreak/>
        <w:t>Contents</w:t>
      </w:r>
    </w:p>
    <w:p w14:paraId="38BD5EE9" w14:textId="2003ADFA" w:rsidR="000A7513" w:rsidRDefault="001900E3">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23327582" w:history="1">
        <w:r w:rsidR="000A7513" w:rsidRPr="00D91F28">
          <w:rPr>
            <w:rStyle w:val="Hyperlink"/>
            <w:noProof/>
          </w:rPr>
          <w:t>1.</w:t>
        </w:r>
        <w:r w:rsidR="000A7513">
          <w:rPr>
            <w:rFonts w:asciiTheme="minorHAnsi" w:eastAsiaTheme="minorEastAsia" w:hAnsiTheme="minorHAnsi" w:cstheme="minorBidi"/>
            <w:noProof/>
            <w:szCs w:val="22"/>
          </w:rPr>
          <w:tab/>
        </w:r>
        <w:r w:rsidR="000A7513" w:rsidRPr="00D91F28">
          <w:rPr>
            <w:rStyle w:val="Hyperlink"/>
            <w:noProof/>
          </w:rPr>
          <w:t>Introduction</w:t>
        </w:r>
        <w:r w:rsidR="000A7513">
          <w:rPr>
            <w:noProof/>
            <w:webHidden/>
          </w:rPr>
          <w:tab/>
        </w:r>
        <w:r w:rsidR="000A7513">
          <w:rPr>
            <w:noProof/>
            <w:webHidden/>
          </w:rPr>
          <w:fldChar w:fldCharType="begin"/>
        </w:r>
        <w:r w:rsidR="000A7513">
          <w:rPr>
            <w:noProof/>
            <w:webHidden/>
          </w:rPr>
          <w:instrText xml:space="preserve"> PAGEREF _Toc523327582 \h </w:instrText>
        </w:r>
        <w:r w:rsidR="000A7513">
          <w:rPr>
            <w:noProof/>
            <w:webHidden/>
          </w:rPr>
        </w:r>
        <w:r w:rsidR="000A7513">
          <w:rPr>
            <w:noProof/>
            <w:webHidden/>
          </w:rPr>
          <w:fldChar w:fldCharType="separate"/>
        </w:r>
        <w:r w:rsidR="000A7513">
          <w:rPr>
            <w:noProof/>
            <w:webHidden/>
          </w:rPr>
          <w:t>3</w:t>
        </w:r>
        <w:r w:rsidR="000A7513">
          <w:rPr>
            <w:noProof/>
            <w:webHidden/>
          </w:rPr>
          <w:fldChar w:fldCharType="end"/>
        </w:r>
      </w:hyperlink>
    </w:p>
    <w:p w14:paraId="53EEE191" w14:textId="59FC56EC" w:rsidR="000A7513" w:rsidRDefault="00725788">
      <w:pPr>
        <w:pStyle w:val="TOC1"/>
        <w:rPr>
          <w:rFonts w:asciiTheme="minorHAnsi" w:eastAsiaTheme="minorEastAsia" w:hAnsiTheme="minorHAnsi" w:cstheme="minorBidi"/>
          <w:noProof/>
          <w:szCs w:val="22"/>
        </w:rPr>
      </w:pPr>
      <w:hyperlink w:anchor="_Toc523327583" w:history="1">
        <w:r w:rsidR="000A7513" w:rsidRPr="00D91F28">
          <w:rPr>
            <w:rStyle w:val="Hyperlink"/>
            <w:noProof/>
          </w:rPr>
          <w:t>1.</w:t>
        </w:r>
        <w:r w:rsidR="000A7513">
          <w:rPr>
            <w:rFonts w:asciiTheme="minorHAnsi" w:eastAsiaTheme="minorEastAsia" w:hAnsiTheme="minorHAnsi" w:cstheme="minorBidi"/>
            <w:noProof/>
            <w:szCs w:val="22"/>
          </w:rPr>
          <w:tab/>
        </w:r>
        <w:r w:rsidR="000A7513" w:rsidRPr="00D91F28">
          <w:rPr>
            <w:rStyle w:val="Hyperlink"/>
            <w:noProof/>
          </w:rPr>
          <w:t>Procedures Influencing Operational Risk</w:t>
        </w:r>
        <w:r w:rsidR="000A7513">
          <w:rPr>
            <w:noProof/>
            <w:webHidden/>
          </w:rPr>
          <w:tab/>
        </w:r>
        <w:r w:rsidR="000A7513">
          <w:rPr>
            <w:noProof/>
            <w:webHidden/>
          </w:rPr>
          <w:fldChar w:fldCharType="begin"/>
        </w:r>
        <w:r w:rsidR="000A7513">
          <w:rPr>
            <w:noProof/>
            <w:webHidden/>
          </w:rPr>
          <w:instrText xml:space="preserve"> PAGEREF _Toc523327583 \h </w:instrText>
        </w:r>
        <w:r w:rsidR="000A7513">
          <w:rPr>
            <w:noProof/>
            <w:webHidden/>
          </w:rPr>
        </w:r>
        <w:r w:rsidR="000A7513">
          <w:rPr>
            <w:noProof/>
            <w:webHidden/>
          </w:rPr>
          <w:fldChar w:fldCharType="separate"/>
        </w:r>
        <w:r w:rsidR="000A7513">
          <w:rPr>
            <w:noProof/>
            <w:webHidden/>
          </w:rPr>
          <w:t>3</w:t>
        </w:r>
        <w:r w:rsidR="000A7513">
          <w:rPr>
            <w:noProof/>
            <w:webHidden/>
          </w:rPr>
          <w:fldChar w:fldCharType="end"/>
        </w:r>
      </w:hyperlink>
    </w:p>
    <w:p w14:paraId="0E50581D" w14:textId="2B0C6C7A" w:rsidR="000A7513" w:rsidRDefault="00725788">
      <w:pPr>
        <w:pStyle w:val="TOC2"/>
        <w:tabs>
          <w:tab w:val="left" w:pos="880"/>
          <w:tab w:val="right" w:leader="dot" w:pos="9350"/>
        </w:tabs>
        <w:rPr>
          <w:rFonts w:asciiTheme="minorHAnsi" w:hAnsiTheme="minorHAnsi" w:cstheme="minorBidi"/>
          <w:noProof/>
          <w:lang w:eastAsia="en-US"/>
        </w:rPr>
      </w:pPr>
      <w:hyperlink w:anchor="_Toc523327584" w:history="1">
        <w:r w:rsidR="000A7513" w:rsidRPr="00D91F28">
          <w:rPr>
            <w:rStyle w:val="Hyperlink"/>
            <w:noProof/>
          </w:rPr>
          <w:t>1.1</w:t>
        </w:r>
        <w:r w:rsidR="000A7513">
          <w:rPr>
            <w:rFonts w:asciiTheme="minorHAnsi" w:hAnsiTheme="minorHAnsi" w:cstheme="minorBidi"/>
            <w:noProof/>
            <w:lang w:eastAsia="en-US"/>
          </w:rPr>
          <w:tab/>
        </w:r>
        <w:r w:rsidR="000A7513" w:rsidRPr="00D91F28">
          <w:rPr>
            <w:rStyle w:val="Hyperlink"/>
            <w:noProof/>
          </w:rPr>
          <w:t>Front Office</w:t>
        </w:r>
        <w:r w:rsidR="000A7513">
          <w:rPr>
            <w:noProof/>
            <w:webHidden/>
          </w:rPr>
          <w:tab/>
        </w:r>
        <w:r w:rsidR="000A7513">
          <w:rPr>
            <w:noProof/>
            <w:webHidden/>
          </w:rPr>
          <w:fldChar w:fldCharType="begin"/>
        </w:r>
        <w:r w:rsidR="000A7513">
          <w:rPr>
            <w:noProof/>
            <w:webHidden/>
          </w:rPr>
          <w:instrText xml:space="preserve"> PAGEREF _Toc523327584 \h </w:instrText>
        </w:r>
        <w:r w:rsidR="000A7513">
          <w:rPr>
            <w:noProof/>
            <w:webHidden/>
          </w:rPr>
        </w:r>
        <w:r w:rsidR="000A7513">
          <w:rPr>
            <w:noProof/>
            <w:webHidden/>
          </w:rPr>
          <w:fldChar w:fldCharType="separate"/>
        </w:r>
        <w:r w:rsidR="000A7513">
          <w:rPr>
            <w:noProof/>
            <w:webHidden/>
          </w:rPr>
          <w:t>4</w:t>
        </w:r>
        <w:r w:rsidR="000A7513">
          <w:rPr>
            <w:noProof/>
            <w:webHidden/>
          </w:rPr>
          <w:fldChar w:fldCharType="end"/>
        </w:r>
      </w:hyperlink>
    </w:p>
    <w:p w14:paraId="3B50FB3F" w14:textId="3693E089" w:rsidR="000A7513" w:rsidRDefault="00725788">
      <w:pPr>
        <w:pStyle w:val="TOC2"/>
        <w:tabs>
          <w:tab w:val="left" w:pos="880"/>
          <w:tab w:val="right" w:leader="dot" w:pos="9350"/>
        </w:tabs>
        <w:rPr>
          <w:rFonts w:asciiTheme="minorHAnsi" w:hAnsiTheme="minorHAnsi" w:cstheme="minorBidi"/>
          <w:noProof/>
          <w:lang w:eastAsia="en-US"/>
        </w:rPr>
      </w:pPr>
      <w:hyperlink w:anchor="_Toc523327585" w:history="1">
        <w:r w:rsidR="000A7513" w:rsidRPr="00D91F28">
          <w:rPr>
            <w:rStyle w:val="Hyperlink"/>
            <w:noProof/>
          </w:rPr>
          <w:t>1.2</w:t>
        </w:r>
        <w:r w:rsidR="000A7513">
          <w:rPr>
            <w:rFonts w:asciiTheme="minorHAnsi" w:hAnsiTheme="minorHAnsi" w:cstheme="minorBidi"/>
            <w:noProof/>
            <w:lang w:eastAsia="en-US"/>
          </w:rPr>
          <w:tab/>
        </w:r>
        <w:r w:rsidR="000A7513" w:rsidRPr="00D91F28">
          <w:rPr>
            <w:rStyle w:val="Hyperlink"/>
            <w:noProof/>
          </w:rPr>
          <w:t>Middle Office</w:t>
        </w:r>
        <w:r w:rsidR="000A7513">
          <w:rPr>
            <w:noProof/>
            <w:webHidden/>
          </w:rPr>
          <w:tab/>
        </w:r>
        <w:r w:rsidR="000A7513">
          <w:rPr>
            <w:noProof/>
            <w:webHidden/>
          </w:rPr>
          <w:fldChar w:fldCharType="begin"/>
        </w:r>
        <w:r w:rsidR="000A7513">
          <w:rPr>
            <w:noProof/>
            <w:webHidden/>
          </w:rPr>
          <w:instrText xml:space="preserve"> PAGEREF _Toc523327585 \h </w:instrText>
        </w:r>
        <w:r w:rsidR="000A7513">
          <w:rPr>
            <w:noProof/>
            <w:webHidden/>
          </w:rPr>
        </w:r>
        <w:r w:rsidR="000A7513">
          <w:rPr>
            <w:noProof/>
            <w:webHidden/>
          </w:rPr>
          <w:fldChar w:fldCharType="separate"/>
        </w:r>
        <w:r w:rsidR="000A7513">
          <w:rPr>
            <w:noProof/>
            <w:webHidden/>
          </w:rPr>
          <w:t>5</w:t>
        </w:r>
        <w:r w:rsidR="000A7513">
          <w:rPr>
            <w:noProof/>
            <w:webHidden/>
          </w:rPr>
          <w:fldChar w:fldCharType="end"/>
        </w:r>
      </w:hyperlink>
    </w:p>
    <w:p w14:paraId="2CC367E5" w14:textId="7378B95D" w:rsidR="000A7513" w:rsidRDefault="00725788">
      <w:pPr>
        <w:pStyle w:val="TOC2"/>
        <w:tabs>
          <w:tab w:val="left" w:pos="880"/>
          <w:tab w:val="right" w:leader="dot" w:pos="9350"/>
        </w:tabs>
        <w:rPr>
          <w:rFonts w:asciiTheme="minorHAnsi" w:hAnsiTheme="minorHAnsi" w:cstheme="minorBidi"/>
          <w:noProof/>
          <w:lang w:eastAsia="en-US"/>
        </w:rPr>
      </w:pPr>
      <w:hyperlink w:anchor="_Toc523327586" w:history="1">
        <w:r w:rsidR="000A7513" w:rsidRPr="00D91F28">
          <w:rPr>
            <w:rStyle w:val="Hyperlink"/>
            <w:noProof/>
          </w:rPr>
          <w:t>1.3</w:t>
        </w:r>
        <w:r w:rsidR="000A7513">
          <w:rPr>
            <w:rFonts w:asciiTheme="minorHAnsi" w:hAnsiTheme="minorHAnsi" w:cstheme="minorBidi"/>
            <w:noProof/>
            <w:lang w:eastAsia="en-US"/>
          </w:rPr>
          <w:tab/>
        </w:r>
        <w:r w:rsidR="000A7513" w:rsidRPr="00D91F28">
          <w:rPr>
            <w:rStyle w:val="Hyperlink"/>
            <w:noProof/>
          </w:rPr>
          <w:t>Back Office</w:t>
        </w:r>
        <w:r w:rsidR="000A7513">
          <w:rPr>
            <w:noProof/>
            <w:webHidden/>
          </w:rPr>
          <w:tab/>
        </w:r>
        <w:r w:rsidR="000A7513">
          <w:rPr>
            <w:noProof/>
            <w:webHidden/>
          </w:rPr>
          <w:fldChar w:fldCharType="begin"/>
        </w:r>
        <w:r w:rsidR="000A7513">
          <w:rPr>
            <w:noProof/>
            <w:webHidden/>
          </w:rPr>
          <w:instrText xml:space="preserve"> PAGEREF _Toc523327586 \h </w:instrText>
        </w:r>
        <w:r w:rsidR="000A7513">
          <w:rPr>
            <w:noProof/>
            <w:webHidden/>
          </w:rPr>
        </w:r>
        <w:r w:rsidR="000A7513">
          <w:rPr>
            <w:noProof/>
            <w:webHidden/>
          </w:rPr>
          <w:fldChar w:fldCharType="separate"/>
        </w:r>
        <w:r w:rsidR="000A7513">
          <w:rPr>
            <w:noProof/>
            <w:webHidden/>
          </w:rPr>
          <w:t>6</w:t>
        </w:r>
        <w:r w:rsidR="000A7513">
          <w:rPr>
            <w:noProof/>
            <w:webHidden/>
          </w:rPr>
          <w:fldChar w:fldCharType="end"/>
        </w:r>
      </w:hyperlink>
    </w:p>
    <w:p w14:paraId="5F758505" w14:textId="2A0AEAFC" w:rsidR="000A7513" w:rsidRDefault="00725788">
      <w:pPr>
        <w:pStyle w:val="TOC2"/>
        <w:tabs>
          <w:tab w:val="left" w:pos="880"/>
          <w:tab w:val="right" w:leader="dot" w:pos="9350"/>
        </w:tabs>
        <w:rPr>
          <w:rFonts w:asciiTheme="minorHAnsi" w:hAnsiTheme="minorHAnsi" w:cstheme="minorBidi"/>
          <w:noProof/>
          <w:lang w:eastAsia="en-US"/>
        </w:rPr>
      </w:pPr>
      <w:hyperlink w:anchor="_Toc523327587" w:history="1">
        <w:r w:rsidR="000A7513" w:rsidRPr="00D91F28">
          <w:rPr>
            <w:rStyle w:val="Hyperlink"/>
            <w:noProof/>
          </w:rPr>
          <w:t>1.4</w:t>
        </w:r>
        <w:r w:rsidR="000A7513">
          <w:rPr>
            <w:rFonts w:asciiTheme="minorHAnsi" w:hAnsiTheme="minorHAnsi" w:cstheme="minorBidi"/>
            <w:noProof/>
            <w:lang w:eastAsia="en-US"/>
          </w:rPr>
          <w:tab/>
        </w:r>
        <w:r w:rsidR="000A7513" w:rsidRPr="00D91F28">
          <w:rPr>
            <w:rStyle w:val="Hyperlink"/>
            <w:noProof/>
          </w:rPr>
          <w:t>Treasury Direct</w:t>
        </w:r>
        <w:r w:rsidR="000A7513">
          <w:rPr>
            <w:noProof/>
            <w:webHidden/>
          </w:rPr>
          <w:tab/>
        </w:r>
        <w:r w:rsidR="000A7513">
          <w:rPr>
            <w:noProof/>
            <w:webHidden/>
          </w:rPr>
          <w:fldChar w:fldCharType="begin"/>
        </w:r>
        <w:r w:rsidR="000A7513">
          <w:rPr>
            <w:noProof/>
            <w:webHidden/>
          </w:rPr>
          <w:instrText xml:space="preserve"> PAGEREF _Toc523327587 \h </w:instrText>
        </w:r>
        <w:r w:rsidR="000A7513">
          <w:rPr>
            <w:noProof/>
            <w:webHidden/>
          </w:rPr>
        </w:r>
        <w:r w:rsidR="000A7513">
          <w:rPr>
            <w:noProof/>
            <w:webHidden/>
          </w:rPr>
          <w:fldChar w:fldCharType="separate"/>
        </w:r>
        <w:r w:rsidR="000A7513">
          <w:rPr>
            <w:noProof/>
            <w:webHidden/>
          </w:rPr>
          <w:t>8</w:t>
        </w:r>
        <w:r w:rsidR="000A7513">
          <w:rPr>
            <w:noProof/>
            <w:webHidden/>
          </w:rPr>
          <w:fldChar w:fldCharType="end"/>
        </w:r>
      </w:hyperlink>
    </w:p>
    <w:p w14:paraId="3A7CFFF0" w14:textId="4422B18D" w:rsidR="000A7513" w:rsidRDefault="00725788">
      <w:pPr>
        <w:pStyle w:val="TOC1"/>
        <w:rPr>
          <w:rFonts w:asciiTheme="minorHAnsi" w:eastAsiaTheme="minorEastAsia" w:hAnsiTheme="minorHAnsi" w:cstheme="minorBidi"/>
          <w:noProof/>
          <w:szCs w:val="22"/>
        </w:rPr>
      </w:pPr>
      <w:hyperlink w:anchor="_Toc523327588" w:history="1">
        <w:r w:rsidR="000A7513" w:rsidRPr="00D91F28">
          <w:rPr>
            <w:rStyle w:val="Hyperlink"/>
            <w:noProof/>
          </w:rPr>
          <w:t>2.</w:t>
        </w:r>
        <w:r w:rsidR="000A7513">
          <w:rPr>
            <w:rFonts w:asciiTheme="minorHAnsi" w:eastAsiaTheme="minorEastAsia" w:hAnsiTheme="minorHAnsi" w:cstheme="minorBidi"/>
            <w:noProof/>
            <w:szCs w:val="22"/>
          </w:rPr>
          <w:tab/>
        </w:r>
        <w:r w:rsidR="000A7513" w:rsidRPr="00D91F28">
          <w:rPr>
            <w:rStyle w:val="Hyperlink"/>
            <w:noProof/>
          </w:rPr>
          <w:t>Operational Risk Management Framework</w:t>
        </w:r>
        <w:r w:rsidR="000A7513">
          <w:rPr>
            <w:noProof/>
            <w:webHidden/>
          </w:rPr>
          <w:tab/>
        </w:r>
        <w:r w:rsidR="000A7513">
          <w:rPr>
            <w:noProof/>
            <w:webHidden/>
          </w:rPr>
          <w:fldChar w:fldCharType="begin"/>
        </w:r>
        <w:r w:rsidR="000A7513">
          <w:rPr>
            <w:noProof/>
            <w:webHidden/>
          </w:rPr>
          <w:instrText xml:space="preserve"> PAGEREF _Toc523327588 \h </w:instrText>
        </w:r>
        <w:r w:rsidR="000A7513">
          <w:rPr>
            <w:noProof/>
            <w:webHidden/>
          </w:rPr>
        </w:r>
        <w:r w:rsidR="000A7513">
          <w:rPr>
            <w:noProof/>
            <w:webHidden/>
          </w:rPr>
          <w:fldChar w:fldCharType="separate"/>
        </w:r>
        <w:r w:rsidR="000A7513">
          <w:rPr>
            <w:noProof/>
            <w:webHidden/>
          </w:rPr>
          <w:t>9</w:t>
        </w:r>
        <w:r w:rsidR="000A7513">
          <w:rPr>
            <w:noProof/>
            <w:webHidden/>
          </w:rPr>
          <w:fldChar w:fldCharType="end"/>
        </w:r>
      </w:hyperlink>
    </w:p>
    <w:p w14:paraId="68735BF9" w14:textId="23004576" w:rsidR="000A7513" w:rsidRDefault="00725788">
      <w:pPr>
        <w:pStyle w:val="TOC1"/>
        <w:rPr>
          <w:rFonts w:asciiTheme="minorHAnsi" w:eastAsiaTheme="minorEastAsia" w:hAnsiTheme="minorHAnsi" w:cstheme="minorBidi"/>
          <w:noProof/>
          <w:szCs w:val="22"/>
        </w:rPr>
      </w:pPr>
      <w:hyperlink w:anchor="_Toc523327589" w:history="1">
        <w:r w:rsidR="000A7513" w:rsidRPr="00D91F28">
          <w:rPr>
            <w:rStyle w:val="Hyperlink"/>
            <w:noProof/>
          </w:rPr>
          <w:t>3.</w:t>
        </w:r>
        <w:r w:rsidR="000A7513">
          <w:rPr>
            <w:rFonts w:asciiTheme="minorHAnsi" w:eastAsiaTheme="minorEastAsia" w:hAnsiTheme="minorHAnsi" w:cstheme="minorBidi"/>
            <w:noProof/>
            <w:szCs w:val="22"/>
          </w:rPr>
          <w:tab/>
        </w:r>
        <w:r w:rsidR="000A7513" w:rsidRPr="00D91F28">
          <w:rPr>
            <w:rStyle w:val="Hyperlink"/>
            <w:noProof/>
          </w:rPr>
          <w:t>Business Continuity</w:t>
        </w:r>
        <w:r w:rsidR="000A7513">
          <w:rPr>
            <w:noProof/>
            <w:webHidden/>
          </w:rPr>
          <w:tab/>
        </w:r>
        <w:r w:rsidR="000A7513">
          <w:rPr>
            <w:noProof/>
            <w:webHidden/>
          </w:rPr>
          <w:fldChar w:fldCharType="begin"/>
        </w:r>
        <w:r w:rsidR="000A7513">
          <w:rPr>
            <w:noProof/>
            <w:webHidden/>
          </w:rPr>
          <w:instrText xml:space="preserve"> PAGEREF _Toc523327589 \h </w:instrText>
        </w:r>
        <w:r w:rsidR="000A7513">
          <w:rPr>
            <w:noProof/>
            <w:webHidden/>
          </w:rPr>
        </w:r>
        <w:r w:rsidR="000A7513">
          <w:rPr>
            <w:noProof/>
            <w:webHidden/>
          </w:rPr>
          <w:fldChar w:fldCharType="separate"/>
        </w:r>
        <w:r w:rsidR="000A7513">
          <w:rPr>
            <w:noProof/>
            <w:webHidden/>
          </w:rPr>
          <w:t>11</w:t>
        </w:r>
        <w:r w:rsidR="000A7513">
          <w:rPr>
            <w:noProof/>
            <w:webHidden/>
          </w:rPr>
          <w:fldChar w:fldCharType="end"/>
        </w:r>
      </w:hyperlink>
    </w:p>
    <w:p w14:paraId="2C9C4BBB" w14:textId="4B272C0F" w:rsidR="000A7513" w:rsidRDefault="00725788">
      <w:pPr>
        <w:pStyle w:val="TOC2"/>
        <w:tabs>
          <w:tab w:val="left" w:pos="880"/>
          <w:tab w:val="right" w:leader="dot" w:pos="9350"/>
        </w:tabs>
        <w:rPr>
          <w:rFonts w:asciiTheme="minorHAnsi" w:hAnsiTheme="minorHAnsi" w:cstheme="minorBidi"/>
          <w:noProof/>
          <w:lang w:eastAsia="en-US"/>
        </w:rPr>
      </w:pPr>
      <w:hyperlink w:anchor="_Toc523327590" w:history="1">
        <w:r w:rsidR="000A7513" w:rsidRPr="00D91F28">
          <w:rPr>
            <w:rStyle w:val="Hyperlink"/>
            <w:noProof/>
          </w:rPr>
          <w:t>3.1</w:t>
        </w:r>
        <w:r w:rsidR="000A7513">
          <w:rPr>
            <w:rFonts w:asciiTheme="minorHAnsi" w:hAnsiTheme="minorHAnsi" w:cstheme="minorBidi"/>
            <w:noProof/>
            <w:lang w:eastAsia="en-US"/>
          </w:rPr>
          <w:tab/>
        </w:r>
        <w:r w:rsidR="000A7513" w:rsidRPr="00D91F28">
          <w:rPr>
            <w:rStyle w:val="Hyperlink"/>
            <w:noProof/>
          </w:rPr>
          <w:t>Current IT situation</w:t>
        </w:r>
        <w:r w:rsidR="000A7513">
          <w:rPr>
            <w:noProof/>
            <w:webHidden/>
          </w:rPr>
          <w:tab/>
        </w:r>
        <w:r w:rsidR="000A7513">
          <w:rPr>
            <w:noProof/>
            <w:webHidden/>
          </w:rPr>
          <w:fldChar w:fldCharType="begin"/>
        </w:r>
        <w:r w:rsidR="000A7513">
          <w:rPr>
            <w:noProof/>
            <w:webHidden/>
          </w:rPr>
          <w:instrText xml:space="preserve"> PAGEREF _Toc523327590 \h </w:instrText>
        </w:r>
        <w:r w:rsidR="000A7513">
          <w:rPr>
            <w:noProof/>
            <w:webHidden/>
          </w:rPr>
        </w:r>
        <w:r w:rsidR="000A7513">
          <w:rPr>
            <w:noProof/>
            <w:webHidden/>
          </w:rPr>
          <w:fldChar w:fldCharType="separate"/>
        </w:r>
        <w:r w:rsidR="000A7513">
          <w:rPr>
            <w:noProof/>
            <w:webHidden/>
          </w:rPr>
          <w:t>15</w:t>
        </w:r>
        <w:r w:rsidR="000A7513">
          <w:rPr>
            <w:noProof/>
            <w:webHidden/>
          </w:rPr>
          <w:fldChar w:fldCharType="end"/>
        </w:r>
      </w:hyperlink>
    </w:p>
    <w:p w14:paraId="03120A79" w14:textId="491C2162" w:rsidR="000A7513" w:rsidRDefault="00725788">
      <w:pPr>
        <w:pStyle w:val="TOC2"/>
        <w:tabs>
          <w:tab w:val="left" w:pos="880"/>
          <w:tab w:val="right" w:leader="dot" w:pos="9350"/>
        </w:tabs>
        <w:rPr>
          <w:rFonts w:asciiTheme="minorHAnsi" w:hAnsiTheme="minorHAnsi" w:cstheme="minorBidi"/>
          <w:noProof/>
          <w:lang w:eastAsia="en-US"/>
        </w:rPr>
      </w:pPr>
      <w:hyperlink w:anchor="_Toc523327591" w:history="1">
        <w:r w:rsidR="000A7513" w:rsidRPr="00D91F28">
          <w:rPr>
            <w:rStyle w:val="Hyperlink"/>
            <w:noProof/>
          </w:rPr>
          <w:t>3.2</w:t>
        </w:r>
        <w:r w:rsidR="000A7513">
          <w:rPr>
            <w:rFonts w:asciiTheme="minorHAnsi" w:hAnsiTheme="minorHAnsi" w:cstheme="minorBidi"/>
            <w:noProof/>
            <w:lang w:eastAsia="en-US"/>
          </w:rPr>
          <w:tab/>
        </w:r>
        <w:r w:rsidR="000A7513" w:rsidRPr="00D91F28">
          <w:rPr>
            <w:rStyle w:val="Hyperlink"/>
            <w:noProof/>
          </w:rPr>
          <w:t>Missing mitigation measures in the current BCP</w:t>
        </w:r>
        <w:r w:rsidR="000A7513">
          <w:rPr>
            <w:noProof/>
            <w:webHidden/>
          </w:rPr>
          <w:tab/>
        </w:r>
        <w:r w:rsidR="000A7513">
          <w:rPr>
            <w:noProof/>
            <w:webHidden/>
          </w:rPr>
          <w:fldChar w:fldCharType="begin"/>
        </w:r>
        <w:r w:rsidR="000A7513">
          <w:rPr>
            <w:noProof/>
            <w:webHidden/>
          </w:rPr>
          <w:instrText xml:space="preserve"> PAGEREF _Toc523327591 \h </w:instrText>
        </w:r>
        <w:r w:rsidR="000A7513">
          <w:rPr>
            <w:noProof/>
            <w:webHidden/>
          </w:rPr>
        </w:r>
        <w:r w:rsidR="000A7513">
          <w:rPr>
            <w:noProof/>
            <w:webHidden/>
          </w:rPr>
          <w:fldChar w:fldCharType="separate"/>
        </w:r>
        <w:r w:rsidR="000A7513">
          <w:rPr>
            <w:noProof/>
            <w:webHidden/>
          </w:rPr>
          <w:t>16</w:t>
        </w:r>
        <w:r w:rsidR="000A7513">
          <w:rPr>
            <w:noProof/>
            <w:webHidden/>
          </w:rPr>
          <w:fldChar w:fldCharType="end"/>
        </w:r>
      </w:hyperlink>
    </w:p>
    <w:p w14:paraId="662866A6" w14:textId="1FE5BD8A" w:rsidR="000A7513" w:rsidRDefault="00725788">
      <w:pPr>
        <w:pStyle w:val="TOC1"/>
        <w:rPr>
          <w:rFonts w:asciiTheme="minorHAnsi" w:eastAsiaTheme="minorEastAsia" w:hAnsiTheme="minorHAnsi" w:cstheme="minorBidi"/>
          <w:noProof/>
          <w:szCs w:val="22"/>
        </w:rPr>
      </w:pPr>
      <w:hyperlink w:anchor="_Toc523327592" w:history="1">
        <w:r w:rsidR="000A7513" w:rsidRPr="00D91F28">
          <w:rPr>
            <w:rStyle w:val="Hyperlink"/>
            <w:noProof/>
          </w:rPr>
          <w:t>4.</w:t>
        </w:r>
        <w:r w:rsidR="000A7513">
          <w:rPr>
            <w:rFonts w:asciiTheme="minorHAnsi" w:eastAsiaTheme="minorEastAsia" w:hAnsiTheme="minorHAnsi" w:cstheme="minorBidi"/>
            <w:noProof/>
            <w:szCs w:val="22"/>
          </w:rPr>
          <w:tab/>
        </w:r>
        <w:r w:rsidR="000A7513" w:rsidRPr="00D91F28">
          <w:rPr>
            <w:rStyle w:val="Hyperlink"/>
            <w:noProof/>
          </w:rPr>
          <w:t>Summary Recommendations</w:t>
        </w:r>
        <w:r w:rsidR="000A7513">
          <w:rPr>
            <w:noProof/>
            <w:webHidden/>
          </w:rPr>
          <w:tab/>
        </w:r>
        <w:r w:rsidR="000A7513">
          <w:rPr>
            <w:noProof/>
            <w:webHidden/>
          </w:rPr>
          <w:fldChar w:fldCharType="begin"/>
        </w:r>
        <w:r w:rsidR="000A7513">
          <w:rPr>
            <w:noProof/>
            <w:webHidden/>
          </w:rPr>
          <w:instrText xml:space="preserve"> PAGEREF _Toc523327592 \h </w:instrText>
        </w:r>
        <w:r w:rsidR="000A7513">
          <w:rPr>
            <w:noProof/>
            <w:webHidden/>
          </w:rPr>
        </w:r>
        <w:r w:rsidR="000A7513">
          <w:rPr>
            <w:noProof/>
            <w:webHidden/>
          </w:rPr>
          <w:fldChar w:fldCharType="separate"/>
        </w:r>
        <w:r w:rsidR="000A7513">
          <w:rPr>
            <w:noProof/>
            <w:webHidden/>
          </w:rPr>
          <w:t>18</w:t>
        </w:r>
        <w:r w:rsidR="000A7513">
          <w:rPr>
            <w:noProof/>
            <w:webHidden/>
          </w:rPr>
          <w:fldChar w:fldCharType="end"/>
        </w:r>
      </w:hyperlink>
    </w:p>
    <w:p w14:paraId="33F00462" w14:textId="77777777" w:rsidR="001900E3" w:rsidRDefault="001900E3" w:rsidP="001900E3">
      <w:r>
        <w:rPr>
          <w:b/>
          <w:bCs/>
          <w:noProof/>
        </w:rPr>
        <w:fldChar w:fldCharType="end"/>
      </w:r>
    </w:p>
    <w:p w14:paraId="19E4FB59" w14:textId="77777777" w:rsidR="001900E3" w:rsidRDefault="001900E3" w:rsidP="001900E3"/>
    <w:p w14:paraId="008B445A" w14:textId="77777777" w:rsidR="001900E3" w:rsidRDefault="001900E3" w:rsidP="001900E3">
      <w:r>
        <w:br w:type="page"/>
      </w:r>
    </w:p>
    <w:p w14:paraId="79C9DAF4" w14:textId="77777777" w:rsidR="001900E3" w:rsidRPr="005A03F7" w:rsidRDefault="001900E3" w:rsidP="001900E3">
      <w:pPr>
        <w:pStyle w:val="Heading1"/>
        <w:rPr>
          <w:lang w:val="en-US"/>
        </w:rPr>
      </w:pPr>
      <w:bookmarkStart w:id="1" w:name="_Toc523327582"/>
      <w:r w:rsidRPr="005A03F7">
        <w:rPr>
          <w:lang w:val="en-US"/>
        </w:rPr>
        <w:lastRenderedPageBreak/>
        <w:t>Introduction</w:t>
      </w:r>
      <w:bookmarkEnd w:id="1"/>
    </w:p>
    <w:p w14:paraId="4FE1AD90" w14:textId="77777777" w:rsidR="001900E3" w:rsidRPr="005A03F7" w:rsidRDefault="001900E3" w:rsidP="001900E3">
      <w:pPr>
        <w:rPr>
          <w:rFonts w:cs="Arial"/>
        </w:rPr>
      </w:pPr>
    </w:p>
    <w:p w14:paraId="1FCC5A7C" w14:textId="77777777" w:rsidR="001900E3" w:rsidRDefault="001900E3" w:rsidP="001900E3">
      <w:pPr>
        <w:rPr>
          <w:rFonts w:cs="Arial"/>
        </w:rPr>
      </w:pPr>
      <w:r>
        <w:rPr>
          <w:rFonts w:cs="Arial"/>
        </w:rPr>
        <w:t xml:space="preserve">Operational risk touches a wide range of traditional activities of a public debt management office. It is often defined as “the </w:t>
      </w:r>
      <w:r w:rsidRPr="001F1278">
        <w:rPr>
          <w:rFonts w:cs="Arial"/>
        </w:rPr>
        <w:t>risk of loss resulting from inadequate or failed internal processes, people and systems or from external events</w:t>
      </w:r>
      <w:r>
        <w:rPr>
          <w:rFonts w:cs="Arial"/>
        </w:rPr>
        <w:t>”</w:t>
      </w:r>
      <w:r>
        <w:rPr>
          <w:rStyle w:val="FootnoteReference"/>
          <w:rFonts w:cs="Arial"/>
        </w:rPr>
        <w:footnoteReference w:id="1"/>
      </w:r>
      <w:r>
        <w:rPr>
          <w:rFonts w:cs="Arial"/>
        </w:rPr>
        <w:t>. In other words, operational risk includes everything except market, liquidity and credit risks.</w:t>
      </w:r>
    </w:p>
    <w:p w14:paraId="5259DE70" w14:textId="77777777" w:rsidR="002022B3" w:rsidRDefault="002022B3" w:rsidP="001900E3">
      <w:pPr>
        <w:rPr>
          <w:rFonts w:cs="Arial"/>
        </w:rPr>
      </w:pPr>
    </w:p>
    <w:p w14:paraId="7DB81378" w14:textId="5A0BD733" w:rsidR="001900E3" w:rsidRDefault="001900E3" w:rsidP="001900E3">
      <w:pPr>
        <w:rPr>
          <w:rFonts w:cs="Arial"/>
        </w:rPr>
      </w:pPr>
      <w:r>
        <w:rPr>
          <w:rFonts w:cs="Arial"/>
        </w:rPr>
        <w:t>This report draws extensively from an earlier report prepared as part of a European Union</w:t>
      </w:r>
      <w:r w:rsidR="000A7513">
        <w:rPr>
          <w:rFonts w:cs="Arial"/>
        </w:rPr>
        <w:t xml:space="preserve"> (EU)</w:t>
      </w:r>
      <w:r>
        <w:rPr>
          <w:rFonts w:cs="Arial"/>
        </w:rPr>
        <w:t xml:space="preserve"> technical assistance. Most of the recommendations made in the EU report remains relevant and therefore serves as the main basis for this report. Some of the issues related to operational risk have also been highlighted in the World Bank’s Debt Management Performance Assessment (DeMPA) report. </w:t>
      </w:r>
      <w:r w:rsidR="000A7513">
        <w:rPr>
          <w:rFonts w:cs="Arial"/>
        </w:rPr>
        <w:t>In addition, the report recommends the Business Continuity Plan for PDMD based on a related report prepared by the EU project.</w:t>
      </w:r>
    </w:p>
    <w:p w14:paraId="66F3FADE" w14:textId="77777777" w:rsidR="001900E3" w:rsidRDefault="001900E3" w:rsidP="001900E3">
      <w:pPr>
        <w:rPr>
          <w:rFonts w:cs="Arial"/>
        </w:rPr>
      </w:pPr>
    </w:p>
    <w:p w14:paraId="19CFED4A" w14:textId="4D198444" w:rsidR="001900E3" w:rsidRDefault="001900E3" w:rsidP="001900E3">
      <w:pPr>
        <w:rPr>
          <w:rFonts w:cs="Arial"/>
        </w:rPr>
      </w:pPr>
      <w:r>
        <w:rPr>
          <w:rFonts w:cs="Arial"/>
        </w:rPr>
        <w:t>The EU report takes note of significant progress made by the Public Debt Management Department (PDMD) to monitor and mitigate operational risks. In particular, PDMD procedures are now documented. Furthermore, PDMD staff has identified, for the first time, the main operational risks and has drafted a document to handle business continuity. Additionally, the staff identified several measures to mitigate several operational risks and already implemented these measures. The PDMD also completed a first draft of the code of ethics specific to the department, including conflict of interest guidelines.</w:t>
      </w:r>
    </w:p>
    <w:p w14:paraId="58CEEBC0" w14:textId="77777777" w:rsidR="001900E3" w:rsidRDefault="001900E3" w:rsidP="001900E3">
      <w:pPr>
        <w:rPr>
          <w:rFonts w:cs="Arial"/>
        </w:rPr>
      </w:pPr>
      <w:r>
        <w:rPr>
          <w:rFonts w:cs="Arial"/>
        </w:rPr>
        <w:t xml:space="preserve"> </w:t>
      </w:r>
    </w:p>
    <w:p w14:paraId="1537039D" w14:textId="0DC4E944" w:rsidR="001900E3" w:rsidRDefault="001900E3" w:rsidP="001900E3">
      <w:pPr>
        <w:rPr>
          <w:rFonts w:cs="Arial"/>
        </w:rPr>
      </w:pPr>
      <w:r>
        <w:rPr>
          <w:rFonts w:cs="Arial"/>
        </w:rPr>
        <w:t>However, the PDMD is still exposed to major operational risks</w:t>
      </w:r>
      <w:r w:rsidR="000A7513">
        <w:rPr>
          <w:rFonts w:cs="Arial"/>
        </w:rPr>
        <w:t xml:space="preserve"> without any Business Continuity Plan to deal with major disruptions</w:t>
      </w:r>
      <w:r>
        <w:rPr>
          <w:rFonts w:cs="Arial"/>
        </w:rPr>
        <w:t>. Above all, any event preventing the access to the PDMD building, or any prolonged failure in the Ministry’s network or power supply, would leave the staff in great difficulty to ensure the continuity of PDMD’s critical activities.</w:t>
      </w:r>
    </w:p>
    <w:p w14:paraId="33E0AB54" w14:textId="77777777" w:rsidR="001900E3" w:rsidRDefault="001900E3" w:rsidP="001900E3">
      <w:pPr>
        <w:rPr>
          <w:rFonts w:cs="Arial"/>
        </w:rPr>
      </w:pPr>
    </w:p>
    <w:p w14:paraId="7A924FDC" w14:textId="77777777" w:rsidR="001900E3" w:rsidRPr="006126A5" w:rsidRDefault="001900E3" w:rsidP="001900E3">
      <w:pPr>
        <w:rPr>
          <w:rFonts w:cs="Arial"/>
        </w:rPr>
      </w:pPr>
      <w:r>
        <w:rPr>
          <w:rFonts w:cs="Arial"/>
        </w:rPr>
        <w:t>In some cases, solutions must be found at the level of the Ministry of Finance (MoF), rather than the PDMD alone. For instance, the MoF should have a suitable alternate data center outside of the capital, with servers to back-up the ones in the main building.</w:t>
      </w:r>
    </w:p>
    <w:p w14:paraId="39739221" w14:textId="77777777" w:rsidR="002022B3" w:rsidRDefault="002022B3" w:rsidP="001900E3">
      <w:pPr>
        <w:rPr>
          <w:rFonts w:cs="Arial"/>
        </w:rPr>
      </w:pPr>
    </w:p>
    <w:p w14:paraId="5A0EA31B" w14:textId="27016E81" w:rsidR="001900E3" w:rsidRDefault="001900E3" w:rsidP="001900E3">
      <w:pPr>
        <w:rPr>
          <w:rFonts w:cs="Arial"/>
        </w:rPr>
      </w:pPr>
      <w:r>
        <w:rPr>
          <w:rFonts w:cs="Arial"/>
        </w:rPr>
        <w:t xml:space="preserve">Additionally, there is still a need to formalize the operational risk management (ORM) structure in the PDMD </w:t>
      </w:r>
      <w:r w:rsidR="002022B3">
        <w:rPr>
          <w:rFonts w:cs="Arial"/>
        </w:rPr>
        <w:t>with an reporting arrangement on any incidents and monitoring of operational risks within PDMD which needs to be coordinated by the middle office in PDMD</w:t>
      </w:r>
      <w:r>
        <w:rPr>
          <w:rFonts w:cs="Arial"/>
        </w:rPr>
        <w:t xml:space="preserve">. </w:t>
      </w:r>
    </w:p>
    <w:p w14:paraId="7E942A22" w14:textId="77777777" w:rsidR="001900E3" w:rsidRDefault="001900E3" w:rsidP="001900E3">
      <w:pPr>
        <w:rPr>
          <w:rFonts w:cs="Arial"/>
        </w:rPr>
      </w:pPr>
      <w:r>
        <w:rPr>
          <w:rFonts w:cs="Arial"/>
        </w:rPr>
        <w:t>Developing a fully-fledged ORM framework that covers the wide range of risks considered “operational” is a long process which requires building up experience along the years. Consequently, PDMD should continue to focus on handling major operational risks and broaden regularly the spectrum of operational risks to be managed. But, considering the lack of staff which could be designated to execute these tasks, PDMD should keep reasonable expectations and avoid too ambitious targets.</w:t>
      </w:r>
    </w:p>
    <w:p w14:paraId="152146B3" w14:textId="77777777" w:rsidR="001900E3" w:rsidRDefault="001900E3" w:rsidP="001900E3"/>
    <w:p w14:paraId="0C2ABE6D" w14:textId="77777777" w:rsidR="001900E3" w:rsidRPr="00433ABB" w:rsidRDefault="001900E3" w:rsidP="001900E3">
      <w:pPr>
        <w:rPr>
          <w:rFonts w:cs="Arial"/>
        </w:rPr>
      </w:pPr>
    </w:p>
    <w:p w14:paraId="5ED80E3F" w14:textId="77777777" w:rsidR="001900E3" w:rsidRDefault="001900E3" w:rsidP="00201A59">
      <w:pPr>
        <w:pStyle w:val="Heading1"/>
        <w:keepNext/>
        <w:keepLines/>
        <w:pageBreakBefore w:val="0"/>
        <w:numPr>
          <w:ilvl w:val="0"/>
          <w:numId w:val="10"/>
        </w:numPr>
        <w:tabs>
          <w:tab w:val="clear" w:pos="567"/>
          <w:tab w:val="clear" w:pos="3175"/>
          <w:tab w:val="clear" w:pos="4763"/>
        </w:tabs>
        <w:spacing w:before="240" w:after="0" w:line="259" w:lineRule="auto"/>
        <w:jc w:val="left"/>
        <w:rPr>
          <w:lang w:val="en-US"/>
        </w:rPr>
      </w:pPr>
      <w:bookmarkStart w:id="2" w:name="_Toc523327583"/>
      <w:r>
        <w:rPr>
          <w:lang w:val="en-US"/>
        </w:rPr>
        <w:t>Procedures Influencing Operational Risk</w:t>
      </w:r>
      <w:bookmarkEnd w:id="2"/>
    </w:p>
    <w:p w14:paraId="21A77F00" w14:textId="77777777" w:rsidR="001900E3" w:rsidRDefault="001900E3" w:rsidP="001900E3">
      <w:pPr>
        <w:rPr>
          <w:rFonts w:cs="Arial"/>
        </w:rPr>
      </w:pPr>
    </w:p>
    <w:p w14:paraId="31BFDCFF" w14:textId="77777777" w:rsidR="001900E3" w:rsidRPr="003C0B2F" w:rsidRDefault="001900E3" w:rsidP="001900E3">
      <w:pPr>
        <w:rPr>
          <w:rFonts w:cs="Arial"/>
        </w:rPr>
      </w:pPr>
      <w:r>
        <w:rPr>
          <w:rFonts w:cs="Arial"/>
        </w:rPr>
        <w:lastRenderedPageBreak/>
        <w:t xml:space="preserve">This section discusses challenges arising from the operational procedures within PDMD with respect to operational risks, </w:t>
      </w:r>
      <w:r w:rsidRPr="006C31E1">
        <w:rPr>
          <w:rFonts w:cs="Arial"/>
        </w:rPr>
        <w:t>Operational risks which are not specific to one procedure, like technology failure or loss of data, are discussed in the section 5 of this document</w:t>
      </w:r>
      <w:r w:rsidRPr="003C0B2F">
        <w:rPr>
          <w:rFonts w:cs="Arial"/>
        </w:rPr>
        <w:t>.</w:t>
      </w:r>
    </w:p>
    <w:p w14:paraId="288DECBE" w14:textId="77777777" w:rsidR="001900E3" w:rsidRDefault="001900E3" w:rsidP="00201A59">
      <w:pPr>
        <w:pStyle w:val="Heading2"/>
        <w:numPr>
          <w:ilvl w:val="1"/>
          <w:numId w:val="10"/>
        </w:numPr>
        <w:spacing w:line="259" w:lineRule="auto"/>
      </w:pPr>
      <w:bookmarkStart w:id="3" w:name="_Toc523327584"/>
      <w:r>
        <w:t>Front Office</w:t>
      </w:r>
      <w:bookmarkEnd w:id="3"/>
    </w:p>
    <w:p w14:paraId="67C00126" w14:textId="21361C87" w:rsidR="001900E3" w:rsidRDefault="001900E3" w:rsidP="001900E3">
      <w:pPr>
        <w:rPr>
          <w:rFonts w:cs="Arial"/>
        </w:rPr>
      </w:pPr>
      <w:r>
        <w:rPr>
          <w:rFonts w:cs="Arial"/>
        </w:rPr>
        <w:t xml:space="preserve">The documented procedure to negotiate and finalize external loans is now under the process of finalization as a Ministerial Order. The draft Order specifies the respective role of the PDMD along with other relevant departments like the Budget Process Management Department and the Department of Obligations to the State Budget within the overall coordination mechanism framework by the International Cooperation Department. This should set out the specific responsibilities of the various departments in </w:t>
      </w:r>
      <w:r w:rsidR="0011151D">
        <w:rPr>
          <w:rFonts w:cs="Arial"/>
        </w:rPr>
        <w:t xml:space="preserve">MoF. </w:t>
      </w:r>
      <w:r>
        <w:rPr>
          <w:rFonts w:cs="Arial"/>
        </w:rPr>
        <w:t>This is an important decision allowing the PDMD to be informed earlier of the new loans in the pipeline and advising on its appropriateness with relation to its medium-term debt management strategy (MTDS) priorities. This will also help the PDMD to raise other participants awareness of the MTDS.</w:t>
      </w:r>
    </w:p>
    <w:p w14:paraId="0E3AD0E8" w14:textId="77777777" w:rsidR="000B7241" w:rsidRDefault="000B7241" w:rsidP="001900E3">
      <w:pPr>
        <w:rPr>
          <w:rFonts w:cs="Arial"/>
        </w:rPr>
      </w:pPr>
    </w:p>
    <w:p w14:paraId="4BF8FDA0" w14:textId="28046430" w:rsidR="001900E3" w:rsidRDefault="001900E3" w:rsidP="001900E3">
      <w:pPr>
        <w:rPr>
          <w:rFonts w:cs="Arial"/>
        </w:rPr>
      </w:pPr>
      <w:r>
        <w:rPr>
          <w:rFonts w:cs="Arial"/>
        </w:rPr>
        <w:t xml:space="preserve">The procedure to issue bonds in the international capital markets (Eurobonds) has also been documented. The MoF already issued two Eurobonds since </w:t>
      </w:r>
      <w:r w:rsidR="001F0B8F">
        <w:rPr>
          <w:rFonts w:cs="Arial"/>
        </w:rPr>
        <w:t xml:space="preserve">2013 </w:t>
      </w:r>
      <w:r>
        <w:rPr>
          <w:rFonts w:cs="Arial"/>
        </w:rPr>
        <w:t xml:space="preserve">including buyback operations and this process is now well known by the PDMD staff. In this process, many risks are carried by the selected Lead Manager. </w:t>
      </w:r>
      <w:r w:rsidRPr="002C6B7B">
        <w:rPr>
          <w:rFonts w:cs="Arial"/>
        </w:rPr>
        <w:t>Some difficulties happened when the MoF changed the electronic mailbox which caused the loss of some e-mails with the syndication team of the issuance</w:t>
      </w:r>
      <w:r w:rsidR="001F0B8F" w:rsidRPr="002C6B7B">
        <w:rPr>
          <w:rFonts w:cs="Arial"/>
        </w:rPr>
        <w:t xml:space="preserve"> in 2013</w:t>
      </w:r>
      <w:r w:rsidRPr="002C6B7B">
        <w:rPr>
          <w:rFonts w:cs="Arial"/>
        </w:rPr>
        <w:t>, but this problem seems to be solved now.</w:t>
      </w:r>
      <w:r w:rsidR="001F0B8F" w:rsidRPr="002C6B7B">
        <w:rPr>
          <w:rFonts w:cs="Arial"/>
        </w:rPr>
        <w:t xml:space="preserve"> Nonetheless, since PDMD staff prevalently use the web-based corporate email instead of the Outlook configured corporate email, the data loss related to such emails occurred. To avoid any future occurrence, it is recommended that there is a clear policy guidance from the IT Department on the use of emails, preferably towards Outlook configured emails which can be stored in the local computer.</w:t>
      </w:r>
      <w:r w:rsidR="001F0B8F">
        <w:rPr>
          <w:rFonts w:cs="Arial"/>
          <w:highlight w:val="yellow"/>
        </w:rPr>
        <w:t xml:space="preserve">  </w:t>
      </w:r>
    </w:p>
    <w:p w14:paraId="538EC25E" w14:textId="77777777" w:rsidR="001900E3" w:rsidRDefault="001900E3" w:rsidP="001900E3">
      <w:pPr>
        <w:pStyle w:val="NoSpacing"/>
        <w:rPr>
          <w:rFonts w:ascii="Arial" w:hAnsi="Arial" w:cs="Arial"/>
          <w:b/>
          <w:i/>
        </w:rPr>
      </w:pPr>
      <w:bookmarkStart w:id="4" w:name="_Hlk490601833"/>
    </w:p>
    <w:p w14:paraId="2A26AF67" w14:textId="38EC1281" w:rsidR="001900E3" w:rsidRPr="004778FA" w:rsidRDefault="001900E3" w:rsidP="001900E3">
      <w:pPr>
        <w:pStyle w:val="NoSpacing"/>
        <w:rPr>
          <w:rFonts w:ascii="Arial" w:hAnsi="Arial" w:cs="Arial"/>
          <w:b/>
          <w:i/>
        </w:rPr>
      </w:pPr>
      <w:r>
        <w:rPr>
          <w:rFonts w:ascii="Arial" w:hAnsi="Arial" w:cs="Arial"/>
          <w:b/>
          <w:i/>
        </w:rPr>
        <w:t>Auctions</w:t>
      </w:r>
    </w:p>
    <w:bookmarkEnd w:id="4"/>
    <w:p w14:paraId="5F416799" w14:textId="0218E770" w:rsidR="001900E3" w:rsidRDefault="001900E3" w:rsidP="001900E3">
      <w:pPr>
        <w:rPr>
          <w:rFonts w:cs="Arial"/>
        </w:rPr>
      </w:pPr>
      <w:r>
        <w:rPr>
          <w:rFonts w:cs="Arial"/>
        </w:rPr>
        <w:t>Auctions of the Treasury Bills and Bonds is one of the most critical activity of any debt management office.</w:t>
      </w:r>
      <w:r w:rsidR="000B7241">
        <w:rPr>
          <w:rFonts w:cs="Arial"/>
        </w:rPr>
        <w:t xml:space="preserve"> </w:t>
      </w:r>
      <w:r>
        <w:rPr>
          <w:rFonts w:cs="Arial"/>
        </w:rPr>
        <w:t xml:space="preserve">For primary </w:t>
      </w:r>
      <w:r w:rsidR="000B7241">
        <w:rPr>
          <w:rFonts w:cs="Arial"/>
        </w:rPr>
        <w:t xml:space="preserve">market </w:t>
      </w:r>
      <w:r>
        <w:rPr>
          <w:rFonts w:cs="Arial"/>
        </w:rPr>
        <w:t xml:space="preserve">auctions and buybacks, </w:t>
      </w:r>
      <w:r w:rsidR="000B7241">
        <w:rPr>
          <w:rFonts w:cs="Arial"/>
        </w:rPr>
        <w:t>primary dealers</w:t>
      </w:r>
      <w:r>
        <w:rPr>
          <w:rFonts w:cs="Arial"/>
        </w:rPr>
        <w:t xml:space="preserve"> connect to the auction platform managed by Nasdaq-OMX. The PDMD connects to this Nasdaq-OMX platform, called “Genium I Net”, through the Ministry’s Virtual Private Network (VPN) which requires a username and password. During the auction, the FO officer also needs to connect to the Central Bank network (CBAnet) and Internet</w:t>
      </w:r>
      <w:r w:rsidR="001F0B8F">
        <w:rPr>
          <w:rFonts w:cs="Arial"/>
        </w:rPr>
        <w:t xml:space="preserve">. </w:t>
      </w:r>
      <w:r>
        <w:rPr>
          <w:rFonts w:cs="Arial"/>
        </w:rPr>
        <w:t xml:space="preserve"> </w:t>
      </w:r>
    </w:p>
    <w:p w14:paraId="6BB60C40" w14:textId="77777777" w:rsidR="001900E3" w:rsidRDefault="001900E3" w:rsidP="001900E3">
      <w:pPr>
        <w:rPr>
          <w:rFonts w:cs="Arial"/>
        </w:rPr>
      </w:pPr>
    </w:p>
    <w:p w14:paraId="6B302FB9" w14:textId="4E13E146" w:rsidR="001900E3" w:rsidRDefault="001900E3" w:rsidP="001900E3">
      <w:pPr>
        <w:rPr>
          <w:rFonts w:cs="Arial"/>
        </w:rPr>
      </w:pPr>
      <w:r>
        <w:rPr>
          <w:rFonts w:cs="Arial"/>
        </w:rPr>
        <w:t>In case of major disruption of the Ministry’s network, the FO staff responsible for the auction and the Head of FO can always move to the Nasdaq-OMX building, a couple of blocks away, to work from a computer prepared by the Nasdaq-OMX for this type of contingencies. The same applies for the access to the CBAnet in the Central Bank premises located close-by.</w:t>
      </w:r>
    </w:p>
    <w:p w14:paraId="35CE25D3" w14:textId="77777777" w:rsidR="001900E3" w:rsidRDefault="001900E3" w:rsidP="001900E3">
      <w:pPr>
        <w:rPr>
          <w:rFonts w:cs="Arial"/>
        </w:rPr>
      </w:pPr>
    </w:p>
    <w:p w14:paraId="3A82030F" w14:textId="3E641CAF" w:rsidR="004D7B8F" w:rsidRDefault="001900E3" w:rsidP="001900E3">
      <w:pPr>
        <w:rPr>
          <w:rFonts w:cs="Arial"/>
        </w:rPr>
      </w:pPr>
      <w:r>
        <w:rPr>
          <w:rFonts w:cs="Arial"/>
        </w:rPr>
        <w:t xml:space="preserve">After the Primary Dealers have submitted their bids, the FO staff must submit them to the Head of the FO and the Director in order to decide the auction cut-off yield. </w:t>
      </w:r>
      <w:r w:rsidRPr="002C6B7B">
        <w:rPr>
          <w:rFonts w:cs="Arial"/>
        </w:rPr>
        <w:t>This process is still quite manual and exposed to human error. For instance, the FO Officer must copy and paste participants bids in an Excel template. Furthermore, the Genium I Net system does not calculate the weighted average yield and the FO Officer must do it aside in an Excel template.</w:t>
      </w:r>
      <w:r w:rsidR="00F122BC">
        <w:rPr>
          <w:rFonts w:cs="Arial"/>
        </w:rPr>
        <w:t xml:space="preserve"> This exposes </w:t>
      </w:r>
      <w:r w:rsidR="004D7B8F">
        <w:rPr>
          <w:rFonts w:cs="Arial"/>
        </w:rPr>
        <w:t xml:space="preserve">FO to operational risk from human error. </w:t>
      </w:r>
      <w:r w:rsidR="004D7B8F" w:rsidRPr="008D0A6F">
        <w:rPr>
          <w:rFonts w:cs="Arial"/>
        </w:rPr>
        <w:t>Going forward, it would be useful for the Genium I Net system or other middleware connected to the system to generate such reports within an electronic format whereby the FO can analyze and decide on the allocations within the system to avoid any manual inputs.</w:t>
      </w:r>
      <w:r w:rsidRPr="002C6B7B">
        <w:rPr>
          <w:rFonts w:cs="Arial"/>
        </w:rPr>
        <w:t xml:space="preserve"> </w:t>
      </w:r>
    </w:p>
    <w:p w14:paraId="57672F1D" w14:textId="77777777" w:rsidR="004D7B8F" w:rsidRDefault="004D7B8F" w:rsidP="001900E3">
      <w:pPr>
        <w:rPr>
          <w:rFonts w:cs="Arial"/>
        </w:rPr>
      </w:pPr>
    </w:p>
    <w:p w14:paraId="27D72304" w14:textId="6FEB19A5" w:rsidR="00F122BC" w:rsidRDefault="001900E3" w:rsidP="001900E3">
      <w:pPr>
        <w:rPr>
          <w:rFonts w:cs="Arial"/>
        </w:rPr>
      </w:pPr>
      <w:r w:rsidRPr="002C6B7B">
        <w:rPr>
          <w:rFonts w:cs="Arial"/>
        </w:rPr>
        <w:t xml:space="preserve">Additionally, when the bids are </w:t>
      </w:r>
      <w:r w:rsidR="00CC7EBD">
        <w:rPr>
          <w:rFonts w:cs="Arial"/>
        </w:rPr>
        <w:t>submitted</w:t>
      </w:r>
      <w:r w:rsidRPr="002C6B7B">
        <w:rPr>
          <w:rFonts w:cs="Arial"/>
        </w:rPr>
        <w:t xml:space="preserve">, </w:t>
      </w:r>
      <w:r w:rsidR="009857C2" w:rsidRPr="00E703A6">
        <w:rPr>
          <w:rFonts w:cs="Arial"/>
        </w:rPr>
        <w:t>the Genium I Net system</w:t>
      </w:r>
      <w:r w:rsidR="009857C2" w:rsidRPr="009857C2">
        <w:rPr>
          <w:rFonts w:cs="Arial"/>
        </w:rPr>
        <w:t xml:space="preserve"> </w:t>
      </w:r>
      <w:r w:rsidR="009857C2">
        <w:rPr>
          <w:rFonts w:cs="Arial"/>
        </w:rPr>
        <w:t xml:space="preserve">produces the cut-off yield </w:t>
      </w:r>
      <w:r w:rsidR="00CC7EBD">
        <w:rPr>
          <w:rFonts w:cs="Arial"/>
        </w:rPr>
        <w:t xml:space="preserve">based on the bid selected (in ascending order of yields) by the FO official </w:t>
      </w:r>
      <w:r w:rsidR="009857C2">
        <w:rPr>
          <w:rFonts w:cs="Arial"/>
        </w:rPr>
        <w:t xml:space="preserve">and the total amount </w:t>
      </w:r>
      <w:r w:rsidR="009857C2">
        <w:rPr>
          <w:rFonts w:cs="Arial"/>
        </w:rPr>
        <w:lastRenderedPageBreak/>
        <w:t>of bids received as the allocation amount. T</w:t>
      </w:r>
      <w:r w:rsidRPr="002C6B7B">
        <w:rPr>
          <w:rFonts w:cs="Arial"/>
        </w:rPr>
        <w:t xml:space="preserve">he FO Officer must </w:t>
      </w:r>
      <w:r w:rsidR="00CC7EBD">
        <w:rPr>
          <w:rFonts w:cs="Arial"/>
        </w:rPr>
        <w:t xml:space="preserve">then </w:t>
      </w:r>
      <w:r w:rsidR="00A036E7">
        <w:rPr>
          <w:rFonts w:cs="Arial"/>
        </w:rPr>
        <w:t>overwrite</w:t>
      </w:r>
      <w:r w:rsidR="00A036E7" w:rsidRPr="002C6B7B">
        <w:rPr>
          <w:rFonts w:cs="Arial"/>
        </w:rPr>
        <w:t xml:space="preserve"> </w:t>
      </w:r>
      <w:r w:rsidRPr="002C6B7B">
        <w:rPr>
          <w:rFonts w:cs="Arial"/>
        </w:rPr>
        <w:t>manually the</w:t>
      </w:r>
      <w:r w:rsidR="009857C2">
        <w:rPr>
          <w:rFonts w:cs="Arial"/>
        </w:rPr>
        <w:t xml:space="preserve"> desired </w:t>
      </w:r>
      <w:r w:rsidRPr="002C6B7B">
        <w:rPr>
          <w:rFonts w:cs="Arial"/>
        </w:rPr>
        <w:t xml:space="preserve">allocated amount </w:t>
      </w:r>
      <w:r w:rsidR="009857C2">
        <w:rPr>
          <w:rFonts w:cs="Arial"/>
        </w:rPr>
        <w:t>(when it is less than the total bid amount)</w:t>
      </w:r>
      <w:r w:rsidR="00A036E7">
        <w:rPr>
          <w:rFonts w:cs="Arial"/>
        </w:rPr>
        <w:t>.</w:t>
      </w:r>
      <w:r w:rsidR="009857C2">
        <w:rPr>
          <w:rFonts w:cs="Arial"/>
        </w:rPr>
        <w:t xml:space="preserve"> </w:t>
      </w:r>
      <w:r w:rsidR="00CC7EBD">
        <w:rPr>
          <w:rFonts w:cs="Arial"/>
        </w:rPr>
        <w:t xml:space="preserve">However, in such instance, the system does not produce any computation that validates consistency between the cut-off yield and the </w:t>
      </w:r>
      <w:r w:rsidR="00A036E7">
        <w:rPr>
          <w:rFonts w:cs="Arial"/>
        </w:rPr>
        <w:t xml:space="preserve">desired </w:t>
      </w:r>
      <w:r w:rsidR="00CC7EBD">
        <w:rPr>
          <w:rFonts w:cs="Arial"/>
        </w:rPr>
        <w:t xml:space="preserve">allocated amount. It therefore has the possibility to allocate a wrong amount if the FO officer has incorrectly analyzed the total desired allocation amount. </w:t>
      </w:r>
      <w:r w:rsidR="004D7B8F">
        <w:rPr>
          <w:rFonts w:cs="Arial"/>
        </w:rPr>
        <w:t xml:space="preserve">This constitutes another source of operational risk. The functionality in </w:t>
      </w:r>
      <w:r w:rsidR="004D7B8F" w:rsidRPr="008D0A6F">
        <w:rPr>
          <w:rFonts w:cs="Arial"/>
        </w:rPr>
        <w:t>Genium I Net system</w:t>
      </w:r>
      <w:r w:rsidR="004D7B8F">
        <w:rPr>
          <w:rFonts w:cs="Arial"/>
        </w:rPr>
        <w:t xml:space="preserve"> should be amended accordingly whereby it should </w:t>
      </w:r>
      <w:r w:rsidR="00CC7EBD">
        <w:rPr>
          <w:rFonts w:cs="Arial"/>
        </w:rPr>
        <w:t>ha</w:t>
      </w:r>
      <w:r w:rsidR="00A036E7">
        <w:rPr>
          <w:rFonts w:cs="Arial"/>
        </w:rPr>
        <w:t>ve</w:t>
      </w:r>
      <w:r w:rsidR="00CC7EBD">
        <w:rPr>
          <w:rFonts w:cs="Arial"/>
        </w:rPr>
        <w:t xml:space="preserve"> an in-built facility to show the desired allocated amount </w:t>
      </w:r>
      <w:r w:rsidR="00A036E7">
        <w:rPr>
          <w:rFonts w:cs="Arial"/>
        </w:rPr>
        <w:t xml:space="preserve">and the relevant </w:t>
      </w:r>
      <w:r w:rsidR="004D7B8F">
        <w:rPr>
          <w:rFonts w:cs="Arial"/>
        </w:rPr>
        <w:t xml:space="preserve"> cut-off yield</w:t>
      </w:r>
      <w:r w:rsidR="00A036E7">
        <w:rPr>
          <w:rFonts w:cs="Arial"/>
        </w:rPr>
        <w:t xml:space="preserve"> as a validation measure</w:t>
      </w:r>
      <w:r w:rsidR="00CC7EBD">
        <w:rPr>
          <w:rFonts w:cs="Arial"/>
        </w:rPr>
        <w:t>.</w:t>
      </w:r>
      <w:r w:rsidR="004D7B8F">
        <w:rPr>
          <w:rFonts w:cs="Arial"/>
        </w:rPr>
        <w:t xml:space="preserve"> </w:t>
      </w:r>
      <w:r w:rsidR="00CC7EBD">
        <w:rPr>
          <w:rFonts w:cs="Arial"/>
        </w:rPr>
        <w:t xml:space="preserve">This </w:t>
      </w:r>
      <w:r w:rsidR="00A036E7">
        <w:rPr>
          <w:rFonts w:cs="Arial"/>
        </w:rPr>
        <w:t xml:space="preserve">validation </w:t>
      </w:r>
      <w:r w:rsidR="00CC7EBD">
        <w:rPr>
          <w:rFonts w:cs="Arial"/>
        </w:rPr>
        <w:t xml:space="preserve">output within the system would be essential </w:t>
      </w:r>
      <w:r w:rsidR="004D7B8F">
        <w:rPr>
          <w:rFonts w:cs="Arial"/>
        </w:rPr>
        <w:t xml:space="preserve">based on which </w:t>
      </w:r>
      <w:r w:rsidR="00CC7EBD">
        <w:rPr>
          <w:rFonts w:cs="Arial"/>
        </w:rPr>
        <w:t xml:space="preserve">the FO can </w:t>
      </w:r>
      <w:r w:rsidR="004D7B8F">
        <w:rPr>
          <w:rFonts w:cs="Arial"/>
        </w:rPr>
        <w:t xml:space="preserve">review </w:t>
      </w:r>
      <w:r w:rsidR="00CC7EBD">
        <w:rPr>
          <w:rFonts w:cs="Arial"/>
        </w:rPr>
        <w:t>and decide on the</w:t>
      </w:r>
      <w:r w:rsidR="004D7B8F">
        <w:rPr>
          <w:rFonts w:cs="Arial"/>
        </w:rPr>
        <w:t xml:space="preserve"> final allocation</w:t>
      </w:r>
      <w:r w:rsidR="00CC7EBD">
        <w:rPr>
          <w:rFonts w:cs="Arial"/>
        </w:rPr>
        <w:t xml:space="preserve"> within the system</w:t>
      </w:r>
      <w:r w:rsidR="004D7B8F">
        <w:rPr>
          <w:rFonts w:cs="Arial"/>
        </w:rPr>
        <w:t xml:space="preserve">. </w:t>
      </w:r>
    </w:p>
    <w:p w14:paraId="23CC1F17" w14:textId="77777777" w:rsidR="00F122BC" w:rsidRDefault="00F122BC" w:rsidP="001900E3">
      <w:pPr>
        <w:rPr>
          <w:rFonts w:cs="Arial"/>
        </w:rPr>
      </w:pPr>
    </w:p>
    <w:p w14:paraId="32A3AF90" w14:textId="1357D6C0" w:rsidR="001900E3" w:rsidRDefault="001900E3" w:rsidP="001900E3">
      <w:pPr>
        <w:rPr>
          <w:rFonts w:cs="Arial"/>
        </w:rPr>
      </w:pPr>
      <w:r w:rsidRPr="002C6B7B">
        <w:rPr>
          <w:rFonts w:cs="Arial"/>
        </w:rPr>
        <w:t xml:space="preserve">To reduce the risk of human error, the Head of the FO (or another authorized person) verifies the FO Officer inputs. In this particular case, the Head of FO is present when the officer inputs auction results. </w:t>
      </w:r>
    </w:p>
    <w:p w14:paraId="1E4F0371" w14:textId="77777777" w:rsidR="001900E3" w:rsidRDefault="001900E3" w:rsidP="001900E3">
      <w:pPr>
        <w:rPr>
          <w:rFonts w:cs="Arial"/>
        </w:rPr>
      </w:pPr>
    </w:p>
    <w:p w14:paraId="7CF58D0D" w14:textId="0884CCFC" w:rsidR="0099361D" w:rsidRDefault="001900E3" w:rsidP="001900E3">
      <w:pPr>
        <w:rPr>
          <w:rFonts w:cs="Arial"/>
        </w:rPr>
      </w:pPr>
      <w:r>
        <w:rPr>
          <w:rFonts w:cs="Arial"/>
        </w:rPr>
        <w:t xml:space="preserve">In the event of any technological disruptions that could impact the submission and processing of electronic bids, currently there is no alternative back up plan for the PDMD which could lead to serious cash flow problems for the government. To deal with such eventuality, the PDMD in partnership with the NASDAQ-OMX </w:t>
      </w:r>
      <w:r w:rsidR="00A036E7">
        <w:rPr>
          <w:rFonts w:cs="Arial"/>
        </w:rPr>
        <w:t>have in place</w:t>
      </w:r>
      <w:r>
        <w:rPr>
          <w:rFonts w:cs="Arial"/>
        </w:rPr>
        <w:t xml:space="preserve"> an alternative back up plan where such auctions could be conducted through a combination of electronic (for example, submission of bids through email) and manual process (for example, processing and allocation of the bids). Such process </w:t>
      </w:r>
      <w:r w:rsidR="00A036E7">
        <w:rPr>
          <w:rFonts w:cs="Arial"/>
        </w:rPr>
        <w:t>was</w:t>
      </w:r>
      <w:r>
        <w:rPr>
          <w:rFonts w:cs="Arial"/>
        </w:rPr>
        <w:t xml:space="preserve"> </w:t>
      </w:r>
      <w:r w:rsidR="00A036E7">
        <w:rPr>
          <w:rFonts w:cs="Arial"/>
        </w:rPr>
        <w:t>undertaken during the upgradation process of the auction system in NASDAQ-OMX</w:t>
      </w:r>
      <w:r w:rsidR="0099361D">
        <w:rPr>
          <w:rFonts w:cs="Arial"/>
        </w:rPr>
        <w:t xml:space="preserve"> (Stockholm)</w:t>
      </w:r>
      <w:r w:rsidR="00A036E7">
        <w:rPr>
          <w:rFonts w:cs="Arial"/>
        </w:rPr>
        <w:t>.</w:t>
      </w:r>
    </w:p>
    <w:p w14:paraId="4C92FBC2" w14:textId="055A86E4" w:rsidR="001900E3" w:rsidRDefault="001900E3" w:rsidP="001900E3">
      <w:pPr>
        <w:rPr>
          <w:rFonts w:cs="Arial"/>
        </w:rPr>
      </w:pPr>
      <w:r>
        <w:rPr>
          <w:rFonts w:cs="Arial"/>
        </w:rPr>
        <w:t xml:space="preserve"> </w:t>
      </w:r>
    </w:p>
    <w:p w14:paraId="3DD11027" w14:textId="5843BE19" w:rsidR="001900E3" w:rsidRDefault="001900E3" w:rsidP="001900E3">
      <w:pPr>
        <w:rPr>
          <w:rFonts w:cs="Arial"/>
        </w:rPr>
      </w:pPr>
      <w:r>
        <w:rPr>
          <w:rFonts w:cs="Arial"/>
        </w:rPr>
        <w:t>Publication of the auction results are done in the MoF website, but also in the Nasdaq-OMX website and through the CBAnet to mitigate the risk in case the MoF website goes down.</w:t>
      </w:r>
    </w:p>
    <w:p w14:paraId="39E099D4" w14:textId="77777777" w:rsidR="001900E3" w:rsidRPr="00404EB4" w:rsidRDefault="001900E3" w:rsidP="001900E3">
      <w:pPr>
        <w:rPr>
          <w:rFonts w:cs="Arial"/>
        </w:rPr>
      </w:pPr>
    </w:p>
    <w:p w14:paraId="1865775F" w14:textId="77777777" w:rsidR="001900E3" w:rsidRDefault="001900E3" w:rsidP="00201A59">
      <w:pPr>
        <w:pStyle w:val="Heading2"/>
        <w:numPr>
          <w:ilvl w:val="1"/>
          <w:numId w:val="10"/>
        </w:numPr>
        <w:spacing w:line="259" w:lineRule="auto"/>
      </w:pPr>
      <w:bookmarkStart w:id="5" w:name="_Toc523327585"/>
      <w:r>
        <w:t>Middle Office</w:t>
      </w:r>
      <w:bookmarkEnd w:id="5"/>
    </w:p>
    <w:p w14:paraId="07A12AC4" w14:textId="07B2DB00" w:rsidR="001900E3" w:rsidRDefault="001900E3" w:rsidP="00AA28B3">
      <w:pPr>
        <w:rPr>
          <w:rFonts w:cs="Arial"/>
        </w:rPr>
      </w:pPr>
      <w:r>
        <w:rPr>
          <w:rFonts w:cs="Arial"/>
        </w:rPr>
        <w:t xml:space="preserve">The Middle Office procedures do not entail specific operational risks that the Front Office or Back Office would usually carry. These operational risks linked to systems access, critical files backups or human errors are discussed in the section 5. </w:t>
      </w:r>
    </w:p>
    <w:p w14:paraId="7170AC39" w14:textId="06B106F2" w:rsidR="001900E3" w:rsidRDefault="001900E3" w:rsidP="001900E3">
      <w:pPr>
        <w:rPr>
          <w:rFonts w:cs="Arial"/>
        </w:rPr>
      </w:pPr>
    </w:p>
    <w:p w14:paraId="59EC1EC9" w14:textId="18A0A96E" w:rsidR="00C91562" w:rsidRDefault="00AA28B3" w:rsidP="001900E3">
      <w:pPr>
        <w:rPr>
          <w:rFonts w:cs="Arial"/>
        </w:rPr>
      </w:pPr>
      <w:r>
        <w:rPr>
          <w:rFonts w:cs="Arial"/>
        </w:rPr>
        <w:t xml:space="preserve">Given that all the analytical work on MTDS and cash flow forecasting performed by the MO is </w:t>
      </w:r>
      <w:r w:rsidR="00C91562">
        <w:rPr>
          <w:rFonts w:cs="Arial"/>
        </w:rPr>
        <w:t xml:space="preserve">undertaken in Excel spreadsheet based on inputs provided by other units within PDMD and other Departments within MoF, it remains exposed to human risk in its work process. To minimize the potential for such risks, it would be useful for MO to put in place a process whereby a different official is responsible to cross-check the accuracy in the use of input received from other units / Departments; as also the analytical work and the results. </w:t>
      </w:r>
    </w:p>
    <w:p w14:paraId="29B32921" w14:textId="77777777" w:rsidR="00C91562" w:rsidRDefault="00C91562" w:rsidP="001900E3">
      <w:pPr>
        <w:rPr>
          <w:rFonts w:cs="Arial"/>
        </w:rPr>
      </w:pPr>
    </w:p>
    <w:p w14:paraId="06F12A63" w14:textId="77777777" w:rsidR="00E8468F" w:rsidRDefault="00C91562" w:rsidP="001900E3">
      <w:pPr>
        <w:rPr>
          <w:rFonts w:cs="Arial"/>
        </w:rPr>
      </w:pPr>
      <w:r>
        <w:rPr>
          <w:rFonts w:cs="Arial"/>
        </w:rPr>
        <w:t>The MO is also tasked with monitoring the compliance of</w:t>
      </w:r>
      <w:r w:rsidR="00E8468F">
        <w:rPr>
          <w:rFonts w:cs="Arial"/>
        </w:rPr>
        <w:t xml:space="preserve"> strategic target indicators on a monthly basis based on the outturn of the government debt portfolio. Given that the information is received from BO maintained in Excel template, it would be useful for the MO to cross-check the accuracy of the data in its monitoring functions.</w:t>
      </w:r>
    </w:p>
    <w:p w14:paraId="506430B4" w14:textId="061C4E36" w:rsidR="00AA28B3" w:rsidRDefault="00E8468F" w:rsidP="001900E3">
      <w:pPr>
        <w:rPr>
          <w:rFonts w:cs="Arial"/>
        </w:rPr>
      </w:pPr>
      <w:r>
        <w:rPr>
          <w:rFonts w:cs="Arial"/>
        </w:rPr>
        <w:t xml:space="preserve"> </w:t>
      </w:r>
      <w:r w:rsidR="00C91562">
        <w:rPr>
          <w:rFonts w:cs="Arial"/>
        </w:rPr>
        <w:t xml:space="preserve">  </w:t>
      </w:r>
    </w:p>
    <w:p w14:paraId="4CF25DF8" w14:textId="4C34A1F5" w:rsidR="001900E3" w:rsidRDefault="00A60D6A" w:rsidP="001900E3">
      <w:pPr>
        <w:rPr>
          <w:rFonts w:cs="Arial"/>
        </w:rPr>
      </w:pPr>
      <w:r>
        <w:rPr>
          <w:rFonts w:cs="Arial"/>
        </w:rPr>
        <w:t>T</w:t>
      </w:r>
      <w:r w:rsidR="001900E3">
        <w:rPr>
          <w:rFonts w:cs="Arial"/>
        </w:rPr>
        <w:t>he design of the MTDS require good risk management knowledge (financial risks), and forecasting cashflows requires good treasury management knowledge. Thus, the MO staff must be trained adequately through specialized seminars, trainings and other courses. The MO should pay particular attention to training and coaching of new staff when preparing the training plan.</w:t>
      </w:r>
    </w:p>
    <w:p w14:paraId="7FE56F9A" w14:textId="77777777" w:rsidR="001900E3" w:rsidRPr="004D3527" w:rsidRDefault="001900E3" w:rsidP="001900E3">
      <w:pPr>
        <w:rPr>
          <w:rFonts w:cs="Arial"/>
        </w:rPr>
      </w:pPr>
    </w:p>
    <w:p w14:paraId="090BD8DA" w14:textId="77777777" w:rsidR="001900E3" w:rsidRDefault="001900E3" w:rsidP="00201A59">
      <w:pPr>
        <w:pStyle w:val="Heading2"/>
        <w:numPr>
          <w:ilvl w:val="1"/>
          <w:numId w:val="10"/>
        </w:numPr>
        <w:spacing w:line="259" w:lineRule="auto"/>
      </w:pPr>
      <w:bookmarkStart w:id="6" w:name="_Toc523327586"/>
      <w:r>
        <w:lastRenderedPageBreak/>
        <w:t>Back Office</w:t>
      </w:r>
      <w:bookmarkEnd w:id="6"/>
    </w:p>
    <w:p w14:paraId="268AC9EF" w14:textId="77777777" w:rsidR="001900E3" w:rsidRDefault="001900E3" w:rsidP="001900E3">
      <w:pPr>
        <w:rPr>
          <w:rFonts w:cs="Arial"/>
        </w:rPr>
      </w:pPr>
    </w:p>
    <w:p w14:paraId="3571AC25" w14:textId="77777777" w:rsidR="001900E3" w:rsidRPr="001900E3" w:rsidRDefault="001900E3" w:rsidP="001900E3">
      <w:pPr>
        <w:rPr>
          <w:rFonts w:cs="Arial"/>
          <w:b/>
        </w:rPr>
      </w:pPr>
      <w:r w:rsidRPr="001900E3">
        <w:rPr>
          <w:rFonts w:cs="Arial"/>
          <w:b/>
        </w:rPr>
        <w:t>Debt Data Records and Documentation</w:t>
      </w:r>
    </w:p>
    <w:p w14:paraId="64E5C482" w14:textId="1A3624A0" w:rsidR="001900E3" w:rsidRDefault="001900E3" w:rsidP="001900E3">
      <w:pPr>
        <w:rPr>
          <w:rFonts w:cs="Arial"/>
        </w:rPr>
      </w:pPr>
      <w:r>
        <w:rPr>
          <w:rFonts w:cs="Arial"/>
        </w:rPr>
        <w:t>Currently, the PDMD has got written procedures for debt recording and validating and original loan agreements are stored adequately in the Ministry of Foreign Affairs. However, debt administration records include supporting documents on loans disbursements</w:t>
      </w:r>
      <w:r w:rsidR="00E664AA">
        <w:rPr>
          <w:rFonts w:cs="Arial"/>
        </w:rPr>
        <w:t>, Eurobonds issuances and debt service payments</w:t>
      </w:r>
      <w:r w:rsidR="00CD2C53">
        <w:rPr>
          <w:rFonts w:cs="Arial"/>
        </w:rPr>
        <w:t>,</w:t>
      </w:r>
      <w:r>
        <w:rPr>
          <w:rFonts w:cs="Arial"/>
        </w:rPr>
        <w:t xml:space="preserve"> which are currently stored in the lockers of the Back-Office unit (BO), which are not fire and flood proof.</w:t>
      </w:r>
    </w:p>
    <w:p w14:paraId="5DB08A7D" w14:textId="77777777" w:rsidR="001900E3" w:rsidRDefault="001900E3" w:rsidP="001900E3">
      <w:pPr>
        <w:rPr>
          <w:rFonts w:cs="Arial"/>
        </w:rPr>
      </w:pPr>
    </w:p>
    <w:p w14:paraId="58BDC064" w14:textId="6C209BCE" w:rsidR="001900E3" w:rsidRDefault="00CD2C53" w:rsidP="001900E3">
      <w:pPr>
        <w:rPr>
          <w:rFonts w:cs="Arial"/>
        </w:rPr>
      </w:pPr>
      <w:r>
        <w:rPr>
          <w:rFonts w:cs="Arial"/>
        </w:rPr>
        <w:t xml:space="preserve">The data recorded on external loans are cross-checked with the creditor statements on a semi-annual basis before the time of making debt service payments for any reconciliation Data on Treasury Bills and Bonds are also periodically validated with the central depositories data maintained by the CBA before making debt service payments on them. s such, debt data maintained </w:t>
      </w:r>
      <w:r w:rsidR="001900E3">
        <w:rPr>
          <w:rFonts w:cs="Arial"/>
        </w:rPr>
        <w:t xml:space="preserve"> </w:t>
      </w:r>
      <w:r>
        <w:rPr>
          <w:rFonts w:cs="Arial"/>
        </w:rPr>
        <w:t>by PDMD is of good quality and validated as part of the debt service payments process at least on an annual basis.</w:t>
      </w:r>
    </w:p>
    <w:p w14:paraId="348DFCE2" w14:textId="77777777" w:rsidR="001900E3" w:rsidRDefault="001900E3" w:rsidP="001900E3">
      <w:pPr>
        <w:rPr>
          <w:rFonts w:cs="Arial"/>
        </w:rPr>
      </w:pPr>
    </w:p>
    <w:p w14:paraId="028A9426" w14:textId="462B4391" w:rsidR="001900E3" w:rsidRDefault="001900E3" w:rsidP="001900E3">
      <w:pPr>
        <w:rPr>
          <w:rFonts w:cs="Arial"/>
          <w:b/>
        </w:rPr>
      </w:pPr>
      <w:r w:rsidRPr="001900E3">
        <w:rPr>
          <w:rFonts w:cs="Arial"/>
          <w:b/>
        </w:rPr>
        <w:t>Debt Management System and Debt Database</w:t>
      </w:r>
    </w:p>
    <w:p w14:paraId="196224CA" w14:textId="1AE6824D" w:rsidR="001900E3" w:rsidRDefault="001900E3" w:rsidP="001900E3">
      <w:pPr>
        <w:rPr>
          <w:rFonts w:cs="Arial"/>
        </w:rPr>
      </w:pPr>
      <w:r>
        <w:rPr>
          <w:rFonts w:cs="Arial"/>
        </w:rPr>
        <w:t xml:space="preserve">The procedures to record debt data in the database (loans agreements, disbursements, </w:t>
      </w:r>
      <w:r w:rsidR="00CD2C53">
        <w:rPr>
          <w:rFonts w:cs="Arial"/>
        </w:rPr>
        <w:t xml:space="preserve">debt service payments </w:t>
      </w:r>
      <w:r>
        <w:rPr>
          <w:rFonts w:cs="Arial"/>
        </w:rPr>
        <w:t>etc.) are now documented. Debt data are recorded in the database by the BO Officer and then verified and validated by the Head of the BO.</w:t>
      </w:r>
    </w:p>
    <w:p w14:paraId="3D3F464B" w14:textId="77777777" w:rsidR="001900E3" w:rsidRDefault="001900E3" w:rsidP="001900E3">
      <w:pPr>
        <w:rPr>
          <w:rFonts w:cs="Arial"/>
        </w:rPr>
      </w:pPr>
    </w:p>
    <w:p w14:paraId="652A0897" w14:textId="7AB82457" w:rsidR="001900E3" w:rsidRDefault="001900E3" w:rsidP="001900E3">
      <w:pPr>
        <w:rPr>
          <w:rFonts w:cs="Arial"/>
        </w:rPr>
      </w:pPr>
      <w:r>
        <w:rPr>
          <w:rFonts w:cs="Arial"/>
        </w:rPr>
        <w:t xml:space="preserve">Currently, the debt database is maintained in excel spreadsheet in PDMD. </w:t>
      </w:r>
      <w:r w:rsidR="00CD2C53">
        <w:rPr>
          <w:rFonts w:cs="Arial"/>
        </w:rPr>
        <w:t>In parallel, t</w:t>
      </w:r>
      <w:r w:rsidR="00CD2C53" w:rsidRPr="00C565F2">
        <w:rPr>
          <w:rFonts w:cs="Arial"/>
        </w:rPr>
        <w:t xml:space="preserve">he use of the DMFAS system within PDMD for recording external loans </w:t>
      </w:r>
      <w:r w:rsidR="00CD2C53">
        <w:rPr>
          <w:rFonts w:cs="Arial"/>
        </w:rPr>
        <w:t>is</w:t>
      </w:r>
      <w:r w:rsidR="00CD2C53" w:rsidRPr="00C565F2">
        <w:rPr>
          <w:rFonts w:cs="Arial"/>
        </w:rPr>
        <w:t xml:space="preserve"> continuing. The main part of external loans had been recorded with cut-off date as of end 2007</w:t>
      </w:r>
      <w:r w:rsidR="00CD2C53">
        <w:rPr>
          <w:rFonts w:cs="Arial"/>
        </w:rPr>
        <w:t xml:space="preserve">. The DMFAS system currently records all information related to loan terms and disbursements transactions. The system is being used for obtaining information on disbursements, especially for </w:t>
      </w:r>
      <w:r w:rsidR="00557077">
        <w:rPr>
          <w:rFonts w:cs="Arial"/>
        </w:rPr>
        <w:t xml:space="preserve">multi-currency loans which is difficult to compute manually. </w:t>
      </w:r>
      <w:r w:rsidR="00EC11FB">
        <w:rPr>
          <w:rFonts w:cs="Arial"/>
        </w:rPr>
        <w:t>T</w:t>
      </w:r>
      <w:r w:rsidR="00CD2C53" w:rsidRPr="00C565F2">
        <w:rPr>
          <w:rFonts w:cs="Arial"/>
        </w:rPr>
        <w:t>he authorities have recently started the process of building external debt data in the DMFAS system starting from the signing date of loan agreement.</w:t>
      </w:r>
    </w:p>
    <w:p w14:paraId="6E2AFAB0" w14:textId="77777777" w:rsidR="00CD2C53" w:rsidRDefault="00CD2C53" w:rsidP="001900E3">
      <w:pPr>
        <w:rPr>
          <w:rFonts w:cs="Arial"/>
        </w:rPr>
      </w:pPr>
    </w:p>
    <w:p w14:paraId="189863F9" w14:textId="434CA38C" w:rsidR="001900E3" w:rsidRDefault="001900E3" w:rsidP="001900E3">
      <w:pPr>
        <w:rPr>
          <w:rFonts w:cs="Arial"/>
        </w:rPr>
      </w:pPr>
      <w:r w:rsidRPr="006C31E1">
        <w:rPr>
          <w:rFonts w:cs="Arial"/>
        </w:rPr>
        <w:t xml:space="preserve">Maintaining all debt recording data within an excel spreadsheet is another potential source of operational risk with the possibility of human error or tampering, intended or otherwise. </w:t>
      </w:r>
      <w:r>
        <w:rPr>
          <w:rFonts w:cs="Arial"/>
        </w:rPr>
        <w:t>This situation exposes the PDMD to an important data integrity risk, considering Excel files can be easily damaged and user activities cannot be tracked like in a debt management system.</w:t>
      </w:r>
      <w:r w:rsidRPr="006C31E1">
        <w:rPr>
          <w:rFonts w:cs="Arial"/>
        </w:rPr>
        <w:t xml:space="preserve"> </w:t>
      </w:r>
    </w:p>
    <w:p w14:paraId="0E1D8897" w14:textId="77777777" w:rsidR="001900E3" w:rsidRDefault="001900E3" w:rsidP="001900E3">
      <w:pPr>
        <w:rPr>
          <w:rFonts w:cs="Arial"/>
        </w:rPr>
      </w:pPr>
    </w:p>
    <w:p w14:paraId="293FF624" w14:textId="055708E8" w:rsidR="001900E3" w:rsidRDefault="001900E3" w:rsidP="001900E3">
      <w:pPr>
        <w:rPr>
          <w:rFonts w:cs="Arial"/>
          <w:highlight w:val="yellow"/>
        </w:rPr>
      </w:pPr>
      <w:r w:rsidRPr="006C31E1">
        <w:rPr>
          <w:rFonts w:cs="Arial"/>
        </w:rPr>
        <w:t xml:space="preserve">It would be essential to migrate </w:t>
      </w:r>
      <w:r w:rsidR="00557077">
        <w:rPr>
          <w:rFonts w:cs="Arial"/>
        </w:rPr>
        <w:t xml:space="preserve">and update </w:t>
      </w:r>
      <w:r w:rsidR="006943DF">
        <w:rPr>
          <w:rFonts w:cs="Arial"/>
        </w:rPr>
        <w:t xml:space="preserve">and validate </w:t>
      </w:r>
      <w:r w:rsidRPr="006C31E1">
        <w:rPr>
          <w:rFonts w:cs="Arial"/>
        </w:rPr>
        <w:t xml:space="preserve">all </w:t>
      </w:r>
      <w:r w:rsidR="00557077">
        <w:rPr>
          <w:rFonts w:cs="Arial"/>
        </w:rPr>
        <w:t xml:space="preserve">external </w:t>
      </w:r>
      <w:r w:rsidRPr="006C31E1">
        <w:rPr>
          <w:rFonts w:cs="Arial"/>
        </w:rPr>
        <w:t>debt data records in the DMFAS system, with a phased approach whereby external debt data</w:t>
      </w:r>
      <w:r w:rsidR="006943DF">
        <w:rPr>
          <w:rFonts w:cs="Arial"/>
        </w:rPr>
        <w:t>base</w:t>
      </w:r>
      <w:r w:rsidRPr="006C31E1">
        <w:rPr>
          <w:rFonts w:cs="Arial"/>
        </w:rPr>
        <w:t xml:space="preserve"> could be </w:t>
      </w:r>
      <w:r w:rsidR="006943DF">
        <w:rPr>
          <w:rFonts w:cs="Arial"/>
        </w:rPr>
        <w:t>developed</w:t>
      </w:r>
      <w:r w:rsidR="006943DF" w:rsidRPr="006C31E1">
        <w:rPr>
          <w:rFonts w:cs="Arial"/>
        </w:rPr>
        <w:t xml:space="preserve"> </w:t>
      </w:r>
      <w:r w:rsidRPr="006C31E1">
        <w:rPr>
          <w:rFonts w:cs="Arial"/>
        </w:rPr>
        <w:t>in the first instance on a loan-by-loan basis</w:t>
      </w:r>
      <w:r w:rsidR="006943DF">
        <w:rPr>
          <w:rFonts w:cs="Arial"/>
        </w:rPr>
        <w:t xml:space="preserve"> including records of debt service payments</w:t>
      </w:r>
      <w:r w:rsidRPr="006C31E1">
        <w:rPr>
          <w:rFonts w:cs="Arial"/>
        </w:rPr>
        <w:t xml:space="preserve">. </w:t>
      </w:r>
      <w:r w:rsidRPr="002C6B7B">
        <w:rPr>
          <w:rFonts w:cs="Arial"/>
        </w:rPr>
        <w:t xml:space="preserve">Subsequently, domestic debt data on an instrument basis (not bid basis) could be recorded in the DMFAS system by developing an electronic interface between the </w:t>
      </w:r>
      <w:r w:rsidR="00557077">
        <w:rPr>
          <w:rFonts w:cs="Arial"/>
        </w:rPr>
        <w:t xml:space="preserve">central </w:t>
      </w:r>
      <w:r w:rsidRPr="002C6B7B">
        <w:rPr>
          <w:rFonts w:cs="Arial"/>
        </w:rPr>
        <w:t>depository system and DMFAS system.</w:t>
      </w:r>
      <w:r w:rsidR="00557077">
        <w:rPr>
          <w:rFonts w:cs="Arial"/>
        </w:rPr>
        <w:t xml:space="preserve"> This will ensure an integrated debt database in DMFAS. </w:t>
      </w:r>
      <w:r w:rsidR="006943DF">
        <w:rPr>
          <w:rFonts w:cs="Arial"/>
        </w:rPr>
        <w:t>T</w:t>
      </w:r>
      <w:r w:rsidR="00557077">
        <w:rPr>
          <w:rFonts w:cs="Arial"/>
        </w:rPr>
        <w:t>he MoF is in the process of developing a new IFMIS system wherein</w:t>
      </w:r>
      <w:r w:rsidR="006943DF">
        <w:rPr>
          <w:rFonts w:cs="Arial"/>
        </w:rPr>
        <w:t>,</w:t>
      </w:r>
      <w:r w:rsidR="00557077">
        <w:rPr>
          <w:rFonts w:cs="Arial"/>
        </w:rPr>
        <w:t xml:space="preserve"> a Debt Module is also planned to be developed </w:t>
      </w:r>
      <w:r w:rsidR="006943DF">
        <w:rPr>
          <w:rFonts w:cs="Arial"/>
        </w:rPr>
        <w:t xml:space="preserve">as part of the new system </w:t>
      </w:r>
      <w:r w:rsidR="00557077">
        <w:rPr>
          <w:rFonts w:cs="Arial"/>
        </w:rPr>
        <w:t>which would serve as the debt management system for PDMD</w:t>
      </w:r>
      <w:r w:rsidR="006943DF">
        <w:rPr>
          <w:rFonts w:cs="Arial"/>
        </w:rPr>
        <w:t>. D</w:t>
      </w:r>
      <w:r w:rsidR="00557077">
        <w:rPr>
          <w:rFonts w:cs="Arial"/>
        </w:rPr>
        <w:t xml:space="preserve">epending on the timing of completion of its development, PDMD can also consider developing its integrated debt database in the new </w:t>
      </w:r>
      <w:r w:rsidR="006943DF">
        <w:rPr>
          <w:rFonts w:cs="Arial"/>
        </w:rPr>
        <w:t xml:space="preserve">Debt Module </w:t>
      </w:r>
      <w:r w:rsidR="00557077">
        <w:rPr>
          <w:rFonts w:cs="Arial"/>
        </w:rPr>
        <w:t xml:space="preserve">system instead of DMFAS.  </w:t>
      </w:r>
    </w:p>
    <w:p w14:paraId="0FA5BE90" w14:textId="77777777" w:rsidR="001900E3" w:rsidRDefault="001900E3" w:rsidP="001900E3">
      <w:pPr>
        <w:rPr>
          <w:rFonts w:cs="Arial"/>
        </w:rPr>
      </w:pPr>
    </w:p>
    <w:p w14:paraId="15D27CC7" w14:textId="2D9C2039" w:rsidR="001900E3" w:rsidRDefault="001900E3" w:rsidP="001900E3">
      <w:pPr>
        <w:rPr>
          <w:rFonts w:cs="Arial"/>
          <w:highlight w:val="yellow"/>
        </w:rPr>
      </w:pPr>
    </w:p>
    <w:p w14:paraId="77659AF9" w14:textId="77777777" w:rsidR="001900E3" w:rsidRDefault="001900E3" w:rsidP="001900E3">
      <w:pPr>
        <w:rPr>
          <w:rFonts w:cs="Arial"/>
        </w:rPr>
      </w:pPr>
    </w:p>
    <w:p w14:paraId="47098C86" w14:textId="51D81E81" w:rsidR="001900E3" w:rsidRDefault="001900E3" w:rsidP="001900E3">
      <w:pPr>
        <w:rPr>
          <w:rFonts w:cs="Arial"/>
        </w:rPr>
      </w:pPr>
      <w:r>
        <w:rPr>
          <w:rFonts w:cs="Arial"/>
        </w:rPr>
        <w:t xml:space="preserve">Access to the system through a unique username and password for each user should be mandatory for the use of the system. The procedure to control access to the DMFAS system is </w:t>
      </w:r>
      <w:r>
        <w:rPr>
          <w:rFonts w:cs="Arial"/>
        </w:rPr>
        <w:lastRenderedPageBreak/>
        <w:t xml:space="preserve">now documented. The BO and the IT Department have now agreed to separate the functions of database administrator between them. The Head of BO will be responsible to create users’ profiles and access codes, </w:t>
      </w:r>
      <w:r w:rsidR="006943DF">
        <w:rPr>
          <w:rFonts w:cs="Arial"/>
        </w:rPr>
        <w:t xml:space="preserve">activation/dis-activation of system’ modules and functions, </w:t>
      </w:r>
      <w:r>
        <w:rPr>
          <w:rFonts w:cs="Arial"/>
        </w:rPr>
        <w:t xml:space="preserve">while the IT Department will be responsible for all the IT system part and the backups of the database. </w:t>
      </w:r>
    </w:p>
    <w:p w14:paraId="18C5A199" w14:textId="77777777" w:rsidR="001900E3" w:rsidRDefault="001900E3" w:rsidP="001900E3">
      <w:pPr>
        <w:rPr>
          <w:rFonts w:cs="Arial"/>
        </w:rPr>
      </w:pPr>
    </w:p>
    <w:p w14:paraId="5460CD4A" w14:textId="6595CBCB" w:rsidR="001900E3" w:rsidRDefault="001900E3" w:rsidP="001900E3">
      <w:pPr>
        <w:rPr>
          <w:rFonts w:cs="Arial"/>
        </w:rPr>
      </w:pPr>
      <w:r>
        <w:rPr>
          <w:rFonts w:cs="Arial"/>
        </w:rPr>
        <w:t xml:space="preserve">Notwithstanding this arrangement, the IT Department </w:t>
      </w:r>
      <w:r w:rsidR="006943DF">
        <w:rPr>
          <w:rFonts w:cs="Arial"/>
        </w:rPr>
        <w:t xml:space="preserve">and Head of BO </w:t>
      </w:r>
      <w:r>
        <w:rPr>
          <w:rFonts w:cs="Arial"/>
        </w:rPr>
        <w:t xml:space="preserve">still needs UNCTAD to provide them a DMFAS database administrator training, while PDMD users will need functional trainings on the compilation of debt database. DMFAS trainings are currently planned </w:t>
      </w:r>
      <w:r w:rsidRPr="001212DF">
        <w:rPr>
          <w:rFonts w:cs="Arial"/>
        </w:rPr>
        <w:t>under the framework of the ADB technical assistance program.</w:t>
      </w:r>
    </w:p>
    <w:p w14:paraId="20B07D35" w14:textId="77777777" w:rsidR="001900E3" w:rsidRDefault="001900E3" w:rsidP="001900E3">
      <w:pPr>
        <w:rPr>
          <w:rFonts w:cs="Arial"/>
        </w:rPr>
      </w:pPr>
    </w:p>
    <w:p w14:paraId="2DC00E41" w14:textId="77777777" w:rsidR="001900E3" w:rsidRDefault="001900E3" w:rsidP="001900E3">
      <w:pPr>
        <w:rPr>
          <w:rFonts w:cs="Arial"/>
        </w:rPr>
      </w:pPr>
      <w:r>
        <w:rPr>
          <w:rFonts w:cs="Arial"/>
        </w:rPr>
        <w:t xml:space="preserve">While developing its debt database in DMFAS, it will be imperative for the PDMD to review the existing written procedures for controlling access to the debt management system. This should be reviewed before the use of the system is activated and the review should be continued on an annual basis. </w:t>
      </w:r>
    </w:p>
    <w:p w14:paraId="3EC8EAC3" w14:textId="77777777" w:rsidR="001900E3" w:rsidRDefault="001900E3" w:rsidP="001900E3">
      <w:pPr>
        <w:rPr>
          <w:rFonts w:cs="Arial"/>
        </w:rPr>
      </w:pPr>
    </w:p>
    <w:p w14:paraId="3BEFAFB3" w14:textId="70D537C1" w:rsidR="001900E3" w:rsidRDefault="001900E3" w:rsidP="001900E3">
      <w:pPr>
        <w:rPr>
          <w:rFonts w:cs="Arial"/>
        </w:rPr>
      </w:pPr>
      <w:r>
        <w:rPr>
          <w:rFonts w:cs="Arial"/>
        </w:rPr>
        <w:t>The debt management system should also produce an audit trail showing all the activities done by the user in the system. Information from such audit trail which should be used in the monitoring of ORM and through internal and external audits.</w:t>
      </w:r>
    </w:p>
    <w:p w14:paraId="753448EE" w14:textId="77777777" w:rsidR="001900E3" w:rsidRDefault="001900E3" w:rsidP="001900E3">
      <w:pPr>
        <w:rPr>
          <w:rFonts w:cs="Arial"/>
        </w:rPr>
      </w:pPr>
    </w:p>
    <w:p w14:paraId="39D603A4" w14:textId="7D4109C7" w:rsidR="006943DF" w:rsidRDefault="001900E3" w:rsidP="001900E3">
      <w:pPr>
        <w:rPr>
          <w:rFonts w:cs="Arial"/>
        </w:rPr>
      </w:pPr>
      <w:r>
        <w:rPr>
          <w:rFonts w:cs="Arial"/>
        </w:rPr>
        <w:t>The Excel debt d</w:t>
      </w:r>
      <w:r w:rsidRPr="008D5972">
        <w:rPr>
          <w:rFonts w:cs="Arial"/>
        </w:rPr>
        <w:t>atabase is stored in the local computer</w:t>
      </w:r>
      <w:r w:rsidR="009D5B5C">
        <w:rPr>
          <w:rFonts w:cs="Arial"/>
        </w:rPr>
        <w:t>s</w:t>
      </w:r>
      <w:r w:rsidRPr="008D5972">
        <w:rPr>
          <w:rFonts w:cs="Arial"/>
        </w:rPr>
        <w:t xml:space="preserve"> of the BO Officer. In case of problem with this computer, the database can be recovered from other backup copies</w:t>
      </w:r>
      <w:r>
        <w:rPr>
          <w:rFonts w:cs="Arial"/>
        </w:rPr>
        <w:t xml:space="preserve"> (in USB keys).</w:t>
      </w:r>
      <w:r w:rsidR="0071461F">
        <w:rPr>
          <w:rFonts w:cs="Arial"/>
        </w:rPr>
        <w:t xml:space="preserve"> </w:t>
      </w:r>
      <w:r w:rsidR="00C43217">
        <w:rPr>
          <w:rFonts w:cs="Arial"/>
        </w:rPr>
        <w:t xml:space="preserve">To avoid the risk of data loss in PDMD premises due to any hazards, it is recommended that the database be stored in a secured filing system in a separate location, </w:t>
      </w:r>
      <w:r w:rsidR="0071461F">
        <w:rPr>
          <w:rFonts w:cs="Arial"/>
        </w:rPr>
        <w:t xml:space="preserve">in the MoF server. For this purpose, PDMD needs to coordinate with the IT Department to provide them with a dedicated facility for storing public debt database. </w:t>
      </w:r>
      <w:r>
        <w:rPr>
          <w:rFonts w:cs="Arial"/>
        </w:rPr>
        <w:t xml:space="preserve"> </w:t>
      </w:r>
    </w:p>
    <w:p w14:paraId="2A7F216D" w14:textId="77777777" w:rsidR="006943DF" w:rsidRDefault="006943DF" w:rsidP="001900E3">
      <w:pPr>
        <w:rPr>
          <w:rFonts w:cs="Arial"/>
        </w:rPr>
      </w:pPr>
    </w:p>
    <w:p w14:paraId="13EC8065" w14:textId="43211732" w:rsidR="00C43217" w:rsidRDefault="001900E3" w:rsidP="001900E3">
      <w:pPr>
        <w:rPr>
          <w:rFonts w:cs="Arial"/>
        </w:rPr>
      </w:pPr>
      <w:r>
        <w:rPr>
          <w:rFonts w:cs="Arial"/>
        </w:rPr>
        <w:t xml:space="preserve">Currently, the PDMD performs </w:t>
      </w:r>
      <w:r w:rsidR="0071461F">
        <w:rPr>
          <w:rFonts w:cs="Arial"/>
        </w:rPr>
        <w:t xml:space="preserve">monthly </w:t>
      </w:r>
      <w:r>
        <w:rPr>
          <w:rFonts w:cs="Arial"/>
        </w:rPr>
        <w:t xml:space="preserve">backups of the debt database. </w:t>
      </w:r>
      <w:r w:rsidR="0071461F">
        <w:rPr>
          <w:rFonts w:cs="Arial"/>
        </w:rPr>
        <w:t xml:space="preserve">This is in view of the long time taken to perform backups on debt database. To minimize the risk of data loss, it is recommended that PDMD perform a weekly back up of the database. </w:t>
      </w:r>
      <w:r w:rsidR="00C43217">
        <w:rPr>
          <w:rFonts w:cs="Arial"/>
        </w:rPr>
        <w:t xml:space="preserve">Once the IT system is improved further, the frequency of backups could be enhanced to a daily process. </w:t>
      </w:r>
    </w:p>
    <w:p w14:paraId="5757E7F2" w14:textId="77777777" w:rsidR="00C43217" w:rsidRDefault="00C43217" w:rsidP="001900E3">
      <w:pPr>
        <w:rPr>
          <w:rFonts w:cs="Arial"/>
        </w:rPr>
      </w:pPr>
    </w:p>
    <w:p w14:paraId="71DEC9AB" w14:textId="106605DF" w:rsidR="001900E3" w:rsidRDefault="0071461F" w:rsidP="001900E3">
      <w:pPr>
        <w:rPr>
          <w:rFonts w:cs="Arial"/>
        </w:rPr>
      </w:pPr>
      <w:r>
        <w:rPr>
          <w:rFonts w:cs="Arial"/>
        </w:rPr>
        <w:t>The</w:t>
      </w:r>
      <w:r w:rsidR="00C43217">
        <w:rPr>
          <w:rFonts w:cs="Arial"/>
        </w:rPr>
        <w:t xml:space="preserve"> debt database</w:t>
      </w:r>
      <w:r>
        <w:rPr>
          <w:rFonts w:cs="Arial"/>
        </w:rPr>
        <w:t xml:space="preserve"> backups are </w:t>
      </w:r>
      <w:r w:rsidR="00C43217">
        <w:rPr>
          <w:rFonts w:cs="Arial"/>
        </w:rPr>
        <w:t xml:space="preserve">currently </w:t>
      </w:r>
      <w:r>
        <w:rPr>
          <w:rFonts w:cs="Arial"/>
        </w:rPr>
        <w:t>not stored in a separate and</w:t>
      </w:r>
      <w:r w:rsidRPr="00432588">
        <w:rPr>
          <w:rFonts w:cs="Arial"/>
        </w:rPr>
        <w:t xml:space="preserve"> secure location</w:t>
      </w:r>
      <w:r>
        <w:rPr>
          <w:rFonts w:cs="Arial"/>
        </w:rPr>
        <w:t xml:space="preserve">, they are only stored on external drives in the PDMD building and on USB keys. </w:t>
      </w:r>
      <w:r w:rsidR="001900E3">
        <w:rPr>
          <w:rFonts w:cs="Arial"/>
        </w:rPr>
        <w:t xml:space="preserve"> </w:t>
      </w:r>
      <w:r w:rsidR="00C43217">
        <w:rPr>
          <w:rFonts w:cs="Arial"/>
        </w:rPr>
        <w:t xml:space="preserve">To enable retrieval of data in case of any event, it is recommended that monthly back up of the debt database is undertaken in the MoF server. </w:t>
      </w:r>
      <w:r w:rsidR="001900E3">
        <w:rPr>
          <w:rFonts w:cs="Arial"/>
        </w:rPr>
        <w:t>. This process should start with the existing excel database</w:t>
      </w:r>
      <w:r w:rsidR="00C43217">
        <w:rPr>
          <w:rFonts w:cs="Arial"/>
        </w:rPr>
        <w:t>s</w:t>
      </w:r>
      <w:r w:rsidR="001900E3">
        <w:rPr>
          <w:rFonts w:cs="Arial"/>
        </w:rPr>
        <w:t xml:space="preserve"> which would need to be eventually </w:t>
      </w:r>
      <w:r w:rsidR="00C43217">
        <w:rPr>
          <w:rFonts w:cs="Arial"/>
        </w:rPr>
        <w:t xml:space="preserve">complemented / </w:t>
      </w:r>
      <w:r w:rsidR="001900E3">
        <w:rPr>
          <w:rFonts w:cs="Arial"/>
        </w:rPr>
        <w:t>replaced by the DMFAS database once it is established. The backup location should ensure that the database</w:t>
      </w:r>
      <w:r w:rsidR="001900E3" w:rsidRPr="00432588">
        <w:rPr>
          <w:rFonts w:cs="Arial"/>
        </w:rPr>
        <w:t xml:space="preserve"> </w:t>
      </w:r>
      <w:r w:rsidR="001900E3">
        <w:rPr>
          <w:rFonts w:cs="Arial"/>
        </w:rPr>
        <w:t>is</w:t>
      </w:r>
      <w:r w:rsidR="001900E3" w:rsidRPr="00432588">
        <w:rPr>
          <w:rFonts w:cs="Arial"/>
        </w:rPr>
        <w:t xml:space="preserve"> protected from incidents such as theft, fire, flood (and others)</w:t>
      </w:r>
      <w:r w:rsidR="001900E3">
        <w:rPr>
          <w:rFonts w:cs="Arial"/>
        </w:rPr>
        <w:t xml:space="preserve"> that can damage backups.</w:t>
      </w:r>
    </w:p>
    <w:p w14:paraId="0AEBA507" w14:textId="77777777" w:rsidR="001900E3" w:rsidRDefault="001900E3" w:rsidP="001900E3">
      <w:pPr>
        <w:rPr>
          <w:rFonts w:cs="Arial"/>
        </w:rPr>
      </w:pPr>
    </w:p>
    <w:p w14:paraId="0D26B36B" w14:textId="77777777" w:rsidR="001900E3" w:rsidRPr="004778FA" w:rsidRDefault="001900E3" w:rsidP="001900E3">
      <w:pPr>
        <w:pStyle w:val="NoSpacing"/>
        <w:rPr>
          <w:rFonts w:ascii="Arial" w:hAnsi="Arial" w:cs="Arial"/>
          <w:b/>
          <w:i/>
        </w:rPr>
      </w:pPr>
      <w:r>
        <w:rPr>
          <w:rFonts w:ascii="Arial" w:hAnsi="Arial" w:cs="Arial"/>
          <w:b/>
          <w:i/>
        </w:rPr>
        <w:t>Debt payments</w:t>
      </w:r>
    </w:p>
    <w:p w14:paraId="139D38C1" w14:textId="2034C418" w:rsidR="00E25116" w:rsidRDefault="001900E3" w:rsidP="001900E3">
      <w:pPr>
        <w:jc w:val="both"/>
        <w:rPr>
          <w:rFonts w:cs="Arial"/>
        </w:rPr>
      </w:pPr>
      <w:r>
        <w:rPr>
          <w:rFonts w:cs="Arial"/>
        </w:rPr>
        <w:t xml:space="preserve">The procedures to prepare and execute debt payments are well documented. </w:t>
      </w:r>
      <w:r w:rsidR="00E25116">
        <w:rPr>
          <w:rFonts w:cs="Arial"/>
        </w:rPr>
        <w:t>PDMD prepares a monthly schedule of all debt service payments and shares it with the Treasury Department and CBA. In the case of any discrepancies, PDMD will liaise with the respective Department to reconcile the projected debt service payments.</w:t>
      </w:r>
    </w:p>
    <w:p w14:paraId="672C72F5" w14:textId="77777777" w:rsidR="00E25116" w:rsidRDefault="00E25116" w:rsidP="001900E3">
      <w:pPr>
        <w:jc w:val="both"/>
        <w:rPr>
          <w:rFonts w:cs="Arial"/>
        </w:rPr>
      </w:pPr>
    </w:p>
    <w:p w14:paraId="1E182F82" w14:textId="1196F472" w:rsidR="00E25116" w:rsidRDefault="00C43217" w:rsidP="001900E3">
      <w:pPr>
        <w:jc w:val="both"/>
        <w:rPr>
          <w:rFonts w:cs="Arial"/>
        </w:rPr>
      </w:pPr>
      <w:r>
        <w:rPr>
          <w:rFonts w:cs="Arial"/>
        </w:rPr>
        <w:t>Debt service payments are initiated by the PDMD for external loans and Eurobonds, through payment orders, which is transmitted through the T</w:t>
      </w:r>
      <w:r w:rsidR="00E25116">
        <w:rPr>
          <w:rFonts w:cs="Arial"/>
        </w:rPr>
        <w:t>reasury</w:t>
      </w:r>
      <w:r>
        <w:rPr>
          <w:rFonts w:cs="Arial"/>
        </w:rPr>
        <w:t xml:space="preserve"> </w:t>
      </w:r>
      <w:r w:rsidR="00E25116">
        <w:rPr>
          <w:rFonts w:cs="Arial"/>
        </w:rPr>
        <w:t xml:space="preserve">Department </w:t>
      </w:r>
      <w:r>
        <w:rPr>
          <w:rFonts w:cs="Arial"/>
        </w:rPr>
        <w:t xml:space="preserve">and CBA for externalization of payments in foreign currencies. </w:t>
      </w:r>
      <w:r w:rsidR="00E25116">
        <w:rPr>
          <w:rFonts w:cs="Arial"/>
        </w:rPr>
        <w:t xml:space="preserve">The “four eyes” principle is being followed by PDMD for effecting det service payments after due cross-checking with their records and creditor statements. </w:t>
      </w:r>
    </w:p>
    <w:p w14:paraId="4BCF0BDE" w14:textId="77777777" w:rsidR="00E25116" w:rsidRDefault="00E25116" w:rsidP="001900E3">
      <w:pPr>
        <w:jc w:val="both"/>
        <w:rPr>
          <w:rFonts w:cs="Arial"/>
        </w:rPr>
      </w:pPr>
    </w:p>
    <w:p w14:paraId="20BDDA5A" w14:textId="4C117716" w:rsidR="001900E3" w:rsidRPr="00493542" w:rsidRDefault="00E25116" w:rsidP="001900E3">
      <w:pPr>
        <w:jc w:val="both"/>
        <w:rPr>
          <w:rFonts w:cs="Arial"/>
        </w:rPr>
      </w:pPr>
      <w:r>
        <w:rPr>
          <w:rFonts w:cs="Arial"/>
        </w:rPr>
        <w:t>U</w:t>
      </w:r>
      <w:r w:rsidR="00C43217">
        <w:rPr>
          <w:rFonts w:cs="Arial"/>
        </w:rPr>
        <w:t>nder the existing arrangement,</w:t>
      </w:r>
      <w:r>
        <w:rPr>
          <w:rFonts w:cs="Arial"/>
        </w:rPr>
        <w:t xml:space="preserve"> for debt service payments on Treasury Bills and Bonds, the CBA makes automatic debit of the government account in the TSA maintained. </w:t>
      </w:r>
      <w:r w:rsidR="00C43217">
        <w:rPr>
          <w:rFonts w:cs="Arial"/>
        </w:rPr>
        <w:t xml:space="preserve"> </w:t>
      </w:r>
      <w:r>
        <w:rPr>
          <w:rFonts w:cs="Arial"/>
        </w:rPr>
        <w:t xml:space="preserve">Notwithstanding this arrangement, the PDMD prepares debt service instructions on government securities for the Treasury Department to facilitate its accounting of interest and principal payments on such debt obligations based on the budget codes. </w:t>
      </w:r>
    </w:p>
    <w:p w14:paraId="2E6E774D" w14:textId="77777777" w:rsidR="001900E3" w:rsidRDefault="001900E3" w:rsidP="001900E3">
      <w:pPr>
        <w:rPr>
          <w:rFonts w:cs="Arial"/>
        </w:rPr>
      </w:pPr>
      <w:r>
        <w:rPr>
          <w:rFonts w:cs="Arial"/>
        </w:rPr>
        <w:t xml:space="preserve"> </w:t>
      </w:r>
    </w:p>
    <w:p w14:paraId="5EE39F2F" w14:textId="55126F84" w:rsidR="001900E3" w:rsidRDefault="001900E3" w:rsidP="001900E3">
      <w:pPr>
        <w:rPr>
          <w:rFonts w:cs="Arial"/>
        </w:rPr>
      </w:pPr>
      <w:r w:rsidRPr="002C6B7B">
        <w:rPr>
          <w:rFonts w:cs="Arial"/>
        </w:rPr>
        <w:t xml:space="preserve">Currently, the PDMD prepares most payment orders </w:t>
      </w:r>
      <w:r w:rsidR="009D5B5C" w:rsidRPr="002C6B7B">
        <w:rPr>
          <w:rFonts w:cs="Arial"/>
        </w:rPr>
        <w:t xml:space="preserve">on external debt </w:t>
      </w:r>
      <w:r w:rsidRPr="002C6B7B">
        <w:rPr>
          <w:rFonts w:cs="Arial"/>
        </w:rPr>
        <w:t>electronically, but some orders are still processed manually</w:t>
      </w:r>
      <w:r w:rsidR="00171022" w:rsidRPr="002C6B7B">
        <w:rPr>
          <w:rFonts w:cs="Arial"/>
        </w:rPr>
        <w:t xml:space="preserve">. The manual process related to payments for Eurobonds </w:t>
      </w:r>
      <w:r w:rsidR="009D5B5C" w:rsidRPr="002C6B7B">
        <w:rPr>
          <w:rFonts w:cs="Arial"/>
        </w:rPr>
        <w:t xml:space="preserve">is undertaken through their fiscal agent after the manual payment order provided by PDMD to the CBA is confirmed with the fiscal agent following which the CBA effects the payments to the fiscal agent on an aggregate basis. Manual process for payments also include </w:t>
      </w:r>
      <w:r w:rsidR="00171022" w:rsidRPr="002C6B7B">
        <w:rPr>
          <w:rFonts w:cs="Arial"/>
        </w:rPr>
        <w:t xml:space="preserve">some specific creditor days which use next business day payment principle. </w:t>
      </w:r>
      <w:r>
        <w:rPr>
          <w:rFonts w:cs="Arial"/>
        </w:rPr>
        <w:t>To minimize risks related to timely payment of debt service payments, it will be important for PDMD to undertake all payments electronically.</w:t>
      </w:r>
    </w:p>
    <w:p w14:paraId="6F71DF4F" w14:textId="77777777" w:rsidR="001900E3" w:rsidRDefault="001900E3" w:rsidP="001900E3">
      <w:pPr>
        <w:rPr>
          <w:rFonts w:cs="Arial"/>
        </w:rPr>
      </w:pPr>
    </w:p>
    <w:p w14:paraId="5D5EC296" w14:textId="3CE31A39" w:rsidR="001900E3" w:rsidRDefault="001900E3" w:rsidP="001900E3">
      <w:pPr>
        <w:rPr>
          <w:rFonts w:cs="Arial"/>
        </w:rPr>
      </w:pPr>
      <w:r>
        <w:rPr>
          <w:rFonts w:cs="Arial"/>
        </w:rPr>
        <w:t xml:space="preserve">The BO uses the Treasury Payment System (TPS) to process the payments. </w:t>
      </w:r>
      <w:r w:rsidRPr="00D90517">
        <w:rPr>
          <w:rFonts w:cs="Arial"/>
        </w:rPr>
        <w:t>The Company Lsoft is</w:t>
      </w:r>
      <w:r>
        <w:rPr>
          <w:rFonts w:cs="Arial"/>
        </w:rPr>
        <w:t xml:space="preserve"> the provider of the TPS system which is located in the </w:t>
      </w:r>
      <w:r w:rsidRPr="00D90517">
        <w:rPr>
          <w:rFonts w:cs="Arial"/>
        </w:rPr>
        <w:t>server</w:t>
      </w:r>
      <w:r>
        <w:rPr>
          <w:rFonts w:cs="Arial"/>
        </w:rPr>
        <w:t xml:space="preserve">s </w:t>
      </w:r>
      <w:r w:rsidRPr="00D90517">
        <w:rPr>
          <w:rFonts w:cs="Arial"/>
        </w:rPr>
        <w:t>based in the m</w:t>
      </w:r>
      <w:r>
        <w:rPr>
          <w:rFonts w:cs="Arial"/>
        </w:rPr>
        <w:t xml:space="preserve">ain building of the MoF. </w:t>
      </w:r>
      <w:r w:rsidRPr="00D90517">
        <w:rPr>
          <w:rFonts w:cs="Arial"/>
        </w:rPr>
        <w:t xml:space="preserve"> </w:t>
      </w:r>
      <w:r>
        <w:rPr>
          <w:rFonts w:cs="Arial"/>
        </w:rPr>
        <w:t xml:space="preserve">The main user of the TPS and </w:t>
      </w:r>
      <w:r w:rsidRPr="00D90517">
        <w:rPr>
          <w:rFonts w:cs="Arial"/>
        </w:rPr>
        <w:t xml:space="preserve">the </w:t>
      </w:r>
      <w:r>
        <w:rPr>
          <w:rFonts w:cs="Arial"/>
        </w:rPr>
        <w:t xml:space="preserve">department </w:t>
      </w:r>
      <w:r w:rsidRPr="00D90517">
        <w:rPr>
          <w:rFonts w:cs="Arial"/>
        </w:rPr>
        <w:t>responsible to monitor the system is the Operat</w:t>
      </w:r>
      <w:r>
        <w:rPr>
          <w:rFonts w:cs="Arial"/>
        </w:rPr>
        <w:t>ional Department</w:t>
      </w:r>
      <w:r w:rsidRPr="00D90517">
        <w:rPr>
          <w:rFonts w:cs="Arial"/>
        </w:rPr>
        <w:t>.</w:t>
      </w:r>
      <w:r>
        <w:rPr>
          <w:rFonts w:cs="Arial"/>
        </w:rPr>
        <w:t xml:space="preserve"> But, other departments of the Ministry are using it, especially the PDMD where all the units do use it.</w:t>
      </w:r>
    </w:p>
    <w:p w14:paraId="163DC215" w14:textId="77777777" w:rsidR="001900E3" w:rsidRDefault="001900E3" w:rsidP="001900E3">
      <w:pPr>
        <w:rPr>
          <w:rFonts w:cs="Arial"/>
        </w:rPr>
      </w:pPr>
    </w:p>
    <w:p w14:paraId="175BDFA4" w14:textId="7E90DB66" w:rsidR="001900E3" w:rsidRPr="00516198" w:rsidRDefault="001900E3" w:rsidP="001900E3">
      <w:pPr>
        <w:rPr>
          <w:rFonts w:cs="Arial"/>
        </w:rPr>
      </w:pPr>
      <w:r w:rsidRPr="00516198">
        <w:rPr>
          <w:rFonts w:cs="Arial"/>
        </w:rPr>
        <w:t>If the BO Officer is not available, another BO Officer or the Head of the BO can execute the procedure and the relevant payment documents will be vali</w:t>
      </w:r>
      <w:r>
        <w:rPr>
          <w:rFonts w:cs="Arial"/>
        </w:rPr>
        <w:t xml:space="preserve">dated by the Head of BO or the Director </w:t>
      </w:r>
      <w:r w:rsidRPr="00516198">
        <w:rPr>
          <w:rFonts w:cs="Arial"/>
        </w:rPr>
        <w:t>of PDMD.</w:t>
      </w:r>
      <w:r>
        <w:rPr>
          <w:rFonts w:cs="Arial"/>
        </w:rPr>
        <w:t xml:space="preserve"> The “four eyes” principle must always be respected to process the payment.</w:t>
      </w:r>
    </w:p>
    <w:p w14:paraId="3A9F66AD" w14:textId="77777777" w:rsidR="001900E3" w:rsidRDefault="001900E3" w:rsidP="001900E3">
      <w:pPr>
        <w:rPr>
          <w:rFonts w:cs="Arial"/>
        </w:rPr>
      </w:pPr>
      <w:r>
        <w:rPr>
          <w:rFonts w:cs="Arial"/>
        </w:rPr>
        <w:t>If the TPS is not working, the payment o</w:t>
      </w:r>
      <w:r w:rsidRPr="00516198">
        <w:rPr>
          <w:rFonts w:cs="Arial"/>
        </w:rPr>
        <w:t>rder</w:t>
      </w:r>
      <w:r>
        <w:rPr>
          <w:rFonts w:cs="Arial"/>
        </w:rPr>
        <w:t>s</w:t>
      </w:r>
      <w:r w:rsidRPr="00516198">
        <w:rPr>
          <w:rFonts w:cs="Arial"/>
        </w:rPr>
        <w:t xml:space="preserve"> can be written manually</w:t>
      </w:r>
      <w:r>
        <w:rPr>
          <w:rFonts w:cs="Arial"/>
        </w:rPr>
        <w:t xml:space="preserve"> in the appropriate paper form and </w:t>
      </w:r>
      <w:r w:rsidRPr="00516198">
        <w:rPr>
          <w:rFonts w:cs="Arial"/>
        </w:rPr>
        <w:t>brought to the CBA physically.</w:t>
      </w:r>
      <w:r>
        <w:rPr>
          <w:rFonts w:cs="Arial"/>
        </w:rPr>
        <w:t xml:space="preserve"> Such arrangement is useful to avoid any risk of missed payments due to technological problems.</w:t>
      </w:r>
    </w:p>
    <w:p w14:paraId="1032DB5C" w14:textId="77777777" w:rsidR="001900E3" w:rsidRDefault="001900E3" w:rsidP="001900E3">
      <w:pPr>
        <w:rPr>
          <w:rFonts w:cs="Arial"/>
        </w:rPr>
      </w:pPr>
    </w:p>
    <w:p w14:paraId="0A160A1A" w14:textId="16E282EE" w:rsidR="001900E3" w:rsidRDefault="001900E3" w:rsidP="001900E3">
      <w:pPr>
        <w:rPr>
          <w:rFonts w:cs="Arial"/>
        </w:rPr>
      </w:pPr>
      <w:r>
        <w:rPr>
          <w:rFonts w:cs="Arial"/>
        </w:rPr>
        <w:t>As a long-term measure for further strengthening risk management, payment orders could be processed through a Straight-Through-Processing (STP) payment system and written procedures for debt servicing reviewed annually.</w:t>
      </w:r>
    </w:p>
    <w:p w14:paraId="0AC5B2C4" w14:textId="77777777" w:rsidR="001900E3" w:rsidRPr="008923AE" w:rsidRDefault="001900E3" w:rsidP="001900E3">
      <w:pPr>
        <w:rPr>
          <w:rFonts w:cs="Arial"/>
        </w:rPr>
      </w:pPr>
    </w:p>
    <w:p w14:paraId="0A8E4B55" w14:textId="77777777" w:rsidR="001900E3" w:rsidRPr="001212DF" w:rsidRDefault="001900E3" w:rsidP="00201A59">
      <w:pPr>
        <w:pStyle w:val="Heading2"/>
        <w:numPr>
          <w:ilvl w:val="1"/>
          <w:numId w:val="10"/>
        </w:numPr>
        <w:spacing w:line="259" w:lineRule="auto"/>
      </w:pPr>
      <w:bookmarkStart w:id="7" w:name="_Toc523327587"/>
      <w:r>
        <w:t>Treasury Direct</w:t>
      </w:r>
      <w:bookmarkEnd w:id="7"/>
    </w:p>
    <w:p w14:paraId="0FECC516" w14:textId="77777777" w:rsidR="001900E3" w:rsidRDefault="001900E3" w:rsidP="001900E3">
      <w:pPr>
        <w:rPr>
          <w:rFonts w:cs="Arial"/>
        </w:rPr>
      </w:pPr>
      <w:r>
        <w:rPr>
          <w:rFonts w:cs="Arial"/>
        </w:rPr>
        <w:t>Treasury Direct refers to the retail debt program allowing individuals to purchase directly government securities, mainly saving bonds, in five selling point centers of Yerevan. It is also the name of a unit of the PDMD responsible for monitoring the retail debt program.</w:t>
      </w:r>
    </w:p>
    <w:p w14:paraId="26B417E3" w14:textId="77777777" w:rsidR="001900E3" w:rsidRDefault="001900E3" w:rsidP="001900E3">
      <w:pPr>
        <w:rPr>
          <w:rFonts w:cs="Arial"/>
        </w:rPr>
      </w:pPr>
    </w:p>
    <w:p w14:paraId="0951A23B" w14:textId="3F4D03B4" w:rsidR="001900E3" w:rsidRDefault="001900E3" w:rsidP="001900E3">
      <w:pPr>
        <w:rPr>
          <w:rFonts w:cs="Arial"/>
        </w:rPr>
      </w:pPr>
      <w:r>
        <w:rPr>
          <w:rFonts w:cs="Arial"/>
        </w:rPr>
        <w:t xml:space="preserve">Recently, the PDMD also implemented an internet platform for Treasury Direct where citizens can register and buy Government </w:t>
      </w:r>
      <w:r w:rsidR="0099361D">
        <w:rPr>
          <w:rFonts w:cs="Arial"/>
        </w:rPr>
        <w:t>securities</w:t>
      </w:r>
      <w:r>
        <w:rPr>
          <w:rFonts w:cs="Arial"/>
        </w:rPr>
        <w:t>. The internet platform is managed by Nasdaq-OMX.</w:t>
      </w:r>
    </w:p>
    <w:p w14:paraId="2C8DD93C" w14:textId="77777777" w:rsidR="001900E3" w:rsidRDefault="001900E3" w:rsidP="001900E3">
      <w:pPr>
        <w:rPr>
          <w:rFonts w:cs="Arial"/>
        </w:rPr>
      </w:pPr>
    </w:p>
    <w:p w14:paraId="1BC95E9E" w14:textId="1FFF9F45" w:rsidR="001900E3" w:rsidRPr="00F82E6B" w:rsidRDefault="001900E3" w:rsidP="001900E3">
      <w:pPr>
        <w:rPr>
          <w:rFonts w:cs="Arial"/>
        </w:rPr>
      </w:pPr>
      <w:r w:rsidRPr="00F82E6B">
        <w:rPr>
          <w:rFonts w:cs="Arial"/>
        </w:rPr>
        <w:t>For Treasury Direct, PDMD is using mainly 3 systems:</w:t>
      </w:r>
    </w:p>
    <w:p w14:paraId="173F9B2F" w14:textId="77777777" w:rsidR="001900E3" w:rsidRDefault="001900E3" w:rsidP="00201A59">
      <w:pPr>
        <w:pStyle w:val="ListParagraph"/>
        <w:numPr>
          <w:ilvl w:val="0"/>
          <w:numId w:val="12"/>
        </w:numPr>
        <w:spacing w:after="160" w:line="259" w:lineRule="auto"/>
        <w:ind w:left="714" w:hanging="357"/>
        <w:contextualSpacing w:val="0"/>
        <w:rPr>
          <w:rFonts w:cs="Arial"/>
        </w:rPr>
      </w:pPr>
      <w:r w:rsidRPr="00F82E6B">
        <w:rPr>
          <w:rFonts w:cs="Arial"/>
        </w:rPr>
        <w:t xml:space="preserve">The system “Depend”: an interface to </w:t>
      </w:r>
      <w:r>
        <w:rPr>
          <w:rFonts w:cs="Arial"/>
        </w:rPr>
        <w:t xml:space="preserve">the </w:t>
      </w:r>
      <w:r w:rsidRPr="00F82E6B">
        <w:rPr>
          <w:rFonts w:cs="Arial"/>
        </w:rPr>
        <w:t>Central Depositary system owned by the Nasdaq-OMX Stock Exchange for the registering of securities in Armenia.</w:t>
      </w:r>
    </w:p>
    <w:p w14:paraId="6F29CDAA" w14:textId="49D8C8A4" w:rsidR="0099361D" w:rsidRPr="00EA396D" w:rsidRDefault="0099361D" w:rsidP="0099361D">
      <w:pPr>
        <w:pStyle w:val="ListParagraph"/>
        <w:numPr>
          <w:ilvl w:val="0"/>
          <w:numId w:val="13"/>
        </w:numPr>
        <w:spacing w:after="160" w:line="259" w:lineRule="auto"/>
        <w:rPr>
          <w:rFonts w:cs="Arial"/>
        </w:rPr>
      </w:pPr>
      <w:r w:rsidRPr="0099361D">
        <w:rPr>
          <w:rFonts w:cs="Arial"/>
        </w:rPr>
        <w:t>The Treasury Direct website, with administrator access. In this website, individuals can purchase</w:t>
      </w:r>
      <w:r w:rsidRPr="00EA396D">
        <w:rPr>
          <w:rFonts w:cs="Arial"/>
        </w:rPr>
        <w:t xml:space="preserve"> online saving bonds and other government securities.</w:t>
      </w:r>
    </w:p>
    <w:p w14:paraId="04D15EAD" w14:textId="77777777" w:rsidR="0099361D" w:rsidRDefault="0099361D" w:rsidP="0099361D">
      <w:pPr>
        <w:pStyle w:val="ListParagraph"/>
        <w:numPr>
          <w:ilvl w:val="0"/>
          <w:numId w:val="13"/>
        </w:numPr>
        <w:spacing w:before="120" w:after="160" w:line="259" w:lineRule="auto"/>
        <w:ind w:left="714" w:hanging="357"/>
        <w:contextualSpacing w:val="0"/>
        <w:rPr>
          <w:rFonts w:cs="Arial"/>
        </w:rPr>
      </w:pPr>
    </w:p>
    <w:p w14:paraId="7E310DFF" w14:textId="1CDDD216" w:rsidR="001900E3" w:rsidRDefault="001900E3" w:rsidP="0099361D">
      <w:pPr>
        <w:pStyle w:val="ListParagraph"/>
        <w:numPr>
          <w:ilvl w:val="0"/>
          <w:numId w:val="13"/>
        </w:numPr>
        <w:spacing w:before="120" w:after="160" w:line="259" w:lineRule="auto"/>
        <w:ind w:left="714" w:hanging="357"/>
        <w:contextualSpacing w:val="0"/>
        <w:rPr>
          <w:rFonts w:cs="Arial"/>
        </w:rPr>
      </w:pPr>
      <w:r w:rsidRPr="00F82E6B">
        <w:rPr>
          <w:rFonts w:cs="Arial"/>
        </w:rPr>
        <w:lastRenderedPageBreak/>
        <w:t>The system “Bankmail”: an interface to electronic payment system of the banking sector managed by the Central Bank.</w:t>
      </w:r>
    </w:p>
    <w:p w14:paraId="1432C4EE" w14:textId="77777777" w:rsidR="001900E3" w:rsidRDefault="001900E3" w:rsidP="001900E3">
      <w:pPr>
        <w:rPr>
          <w:rFonts w:cs="Arial"/>
        </w:rPr>
      </w:pPr>
      <w:r w:rsidRPr="00F82E6B">
        <w:rPr>
          <w:rFonts w:cs="Arial"/>
        </w:rPr>
        <w:t>For the first two syste</w:t>
      </w:r>
      <w:r>
        <w:rPr>
          <w:rFonts w:cs="Arial"/>
        </w:rPr>
        <w:t xml:space="preserve">ms, interfaces are installed </w:t>
      </w:r>
      <w:r w:rsidRPr="00F82E6B">
        <w:rPr>
          <w:rFonts w:cs="Arial"/>
        </w:rPr>
        <w:t>only</w:t>
      </w:r>
      <w:r>
        <w:rPr>
          <w:rFonts w:cs="Arial"/>
        </w:rPr>
        <w:t xml:space="preserve"> in</w:t>
      </w:r>
      <w:r w:rsidRPr="00F82E6B">
        <w:rPr>
          <w:rFonts w:cs="Arial"/>
        </w:rPr>
        <w:t xml:space="preserve"> one computer in the Treasury Direct Unit of the PDMD. For both, software is located in a server in the main bui</w:t>
      </w:r>
      <w:r>
        <w:rPr>
          <w:rFonts w:cs="Arial"/>
        </w:rPr>
        <w:t>lding of the MoF</w:t>
      </w:r>
      <w:r w:rsidRPr="00F82E6B">
        <w:rPr>
          <w:rFonts w:cs="Arial"/>
        </w:rPr>
        <w:t xml:space="preserve">. </w:t>
      </w:r>
      <w:r>
        <w:rPr>
          <w:rFonts w:cs="Arial"/>
        </w:rPr>
        <w:t xml:space="preserve">The access to these systems is done through the Ministry’s VPN network. </w:t>
      </w:r>
      <w:r w:rsidRPr="00F82E6B">
        <w:rPr>
          <w:rFonts w:cs="Arial"/>
        </w:rPr>
        <w:t xml:space="preserve">Access is also possible from the Treasury Direct </w:t>
      </w:r>
      <w:r>
        <w:rPr>
          <w:rFonts w:cs="Arial"/>
        </w:rPr>
        <w:t xml:space="preserve">selling </w:t>
      </w:r>
      <w:r w:rsidRPr="00F82E6B">
        <w:rPr>
          <w:rFonts w:cs="Arial"/>
        </w:rPr>
        <w:t xml:space="preserve">point centers. </w:t>
      </w:r>
    </w:p>
    <w:p w14:paraId="468814F4" w14:textId="77777777" w:rsidR="001900E3" w:rsidRDefault="001900E3" w:rsidP="001900E3">
      <w:pPr>
        <w:rPr>
          <w:rFonts w:cs="Arial"/>
        </w:rPr>
      </w:pPr>
    </w:p>
    <w:p w14:paraId="7AB98891" w14:textId="0D1141AF" w:rsidR="001900E3" w:rsidRDefault="001900E3" w:rsidP="001900E3">
      <w:pPr>
        <w:rPr>
          <w:rFonts w:cs="Arial"/>
        </w:rPr>
      </w:pPr>
      <w:r>
        <w:rPr>
          <w:rFonts w:cs="Arial"/>
        </w:rPr>
        <w:t>In case of major disruption, t</w:t>
      </w:r>
      <w:r w:rsidRPr="00F82E6B">
        <w:rPr>
          <w:rFonts w:cs="Arial"/>
        </w:rPr>
        <w:t>he Head of</w:t>
      </w:r>
      <w:r>
        <w:rPr>
          <w:rFonts w:cs="Arial"/>
        </w:rPr>
        <w:t xml:space="preserve"> the Treasury Direct Unit has </w:t>
      </w:r>
      <w:r w:rsidRPr="00F82E6B">
        <w:rPr>
          <w:rFonts w:cs="Arial"/>
        </w:rPr>
        <w:t xml:space="preserve">also </w:t>
      </w:r>
      <w:r>
        <w:rPr>
          <w:rFonts w:cs="Arial"/>
        </w:rPr>
        <w:t xml:space="preserve">the possibility to </w:t>
      </w:r>
      <w:r w:rsidRPr="00F82E6B">
        <w:rPr>
          <w:rFonts w:cs="Arial"/>
        </w:rPr>
        <w:t xml:space="preserve">access directly to </w:t>
      </w:r>
      <w:r>
        <w:rPr>
          <w:rFonts w:cs="Arial"/>
        </w:rPr>
        <w:t xml:space="preserve">the system </w:t>
      </w:r>
      <w:r w:rsidRPr="00F82E6B">
        <w:rPr>
          <w:rFonts w:cs="Arial"/>
        </w:rPr>
        <w:t xml:space="preserve">“Depend” at the Stock Exchange, and to </w:t>
      </w:r>
      <w:r>
        <w:rPr>
          <w:rFonts w:cs="Arial"/>
        </w:rPr>
        <w:t xml:space="preserve">the system </w:t>
      </w:r>
      <w:r w:rsidRPr="00F82E6B">
        <w:rPr>
          <w:rFonts w:cs="Arial"/>
        </w:rPr>
        <w:t>“Bankmail” at the Central Bank.</w:t>
      </w:r>
    </w:p>
    <w:p w14:paraId="6A117ECF" w14:textId="77777777" w:rsidR="0099361D" w:rsidRPr="00F82E6B" w:rsidRDefault="0099361D" w:rsidP="001900E3">
      <w:pPr>
        <w:rPr>
          <w:rFonts w:cs="Arial"/>
        </w:rPr>
      </w:pPr>
    </w:p>
    <w:p w14:paraId="3AB92607" w14:textId="58B28099" w:rsidR="001900E3" w:rsidRDefault="001900E3" w:rsidP="001900E3">
      <w:pPr>
        <w:rPr>
          <w:rFonts w:cs="Arial"/>
        </w:rPr>
      </w:pPr>
      <w:r w:rsidRPr="00F82E6B">
        <w:rPr>
          <w:rFonts w:cs="Arial"/>
        </w:rPr>
        <w:t xml:space="preserve">For the </w:t>
      </w:r>
      <w:r w:rsidR="00710541">
        <w:rPr>
          <w:rFonts w:cs="Arial"/>
        </w:rPr>
        <w:t>Treasury Direct</w:t>
      </w:r>
      <w:r w:rsidR="0099361D" w:rsidRPr="00F82E6B">
        <w:rPr>
          <w:rFonts w:cs="Arial"/>
        </w:rPr>
        <w:t xml:space="preserve"> </w:t>
      </w:r>
      <w:r w:rsidRPr="00F82E6B">
        <w:rPr>
          <w:rFonts w:cs="Arial"/>
        </w:rPr>
        <w:t>system, the Head of the Treasury Direct Unit has an administrator access with password which is linked to the IP address of her computer and two other computers in the PDMD.</w:t>
      </w:r>
    </w:p>
    <w:p w14:paraId="16AF47BF" w14:textId="77777777" w:rsidR="001900E3" w:rsidRDefault="001900E3" w:rsidP="001900E3">
      <w:pPr>
        <w:pStyle w:val="NoSpacing"/>
        <w:rPr>
          <w:rFonts w:ascii="Arial" w:hAnsi="Arial" w:cs="Arial"/>
          <w:b/>
          <w:i/>
        </w:rPr>
      </w:pPr>
    </w:p>
    <w:p w14:paraId="6BF49E0D" w14:textId="6D98B6F2" w:rsidR="001900E3" w:rsidRPr="004778FA" w:rsidRDefault="001900E3" w:rsidP="001900E3">
      <w:pPr>
        <w:pStyle w:val="NoSpacing"/>
        <w:rPr>
          <w:rFonts w:ascii="Arial" w:hAnsi="Arial" w:cs="Arial"/>
          <w:b/>
          <w:i/>
        </w:rPr>
      </w:pPr>
      <w:r>
        <w:rPr>
          <w:rFonts w:ascii="Arial" w:hAnsi="Arial" w:cs="Arial"/>
          <w:b/>
          <w:i/>
        </w:rPr>
        <w:t xml:space="preserve">Main risks </w:t>
      </w:r>
    </w:p>
    <w:p w14:paraId="22604BD1" w14:textId="77777777" w:rsidR="001900E3" w:rsidRDefault="001900E3" w:rsidP="00201A59">
      <w:pPr>
        <w:pStyle w:val="ListParagraph"/>
        <w:numPr>
          <w:ilvl w:val="0"/>
          <w:numId w:val="9"/>
        </w:numPr>
        <w:spacing w:after="160" w:line="259" w:lineRule="auto"/>
        <w:ind w:left="714" w:hanging="357"/>
        <w:contextualSpacing w:val="0"/>
        <w:rPr>
          <w:rFonts w:cs="Arial"/>
        </w:rPr>
      </w:pPr>
      <w:r w:rsidRPr="008D06BA">
        <w:rPr>
          <w:rFonts w:cs="Arial"/>
        </w:rPr>
        <w:t xml:space="preserve">For practical reasons, the Treasury Direct Unit has not been divided into Front, Middle, Back Office areas. This is perfectly understandable due to the modest volumes transacted in the retail debt program. But, this is also a source of operational risks resulting from the weak segregation of functions. Indeed, the same person is performing front and back office tasks. For example, </w:t>
      </w:r>
      <w:bookmarkStart w:id="8" w:name="_Hlk492567340"/>
      <w:r w:rsidRPr="008D06BA">
        <w:rPr>
          <w:rFonts w:cs="Arial"/>
        </w:rPr>
        <w:t xml:space="preserve">the Head of the Treasury Direct Unit is the administrator of the website, registers customers’ securities purchases </w:t>
      </w:r>
      <w:r>
        <w:rPr>
          <w:rFonts w:cs="Arial"/>
        </w:rPr>
        <w:t xml:space="preserve">and, then, </w:t>
      </w:r>
      <w:r w:rsidRPr="008D06BA">
        <w:rPr>
          <w:rFonts w:cs="Arial"/>
        </w:rPr>
        <w:t>confirms the transactions</w:t>
      </w:r>
      <w:bookmarkEnd w:id="8"/>
      <w:r w:rsidRPr="008D06BA">
        <w:rPr>
          <w:rFonts w:cs="Arial"/>
        </w:rPr>
        <w:t>.</w:t>
      </w:r>
    </w:p>
    <w:p w14:paraId="63494466" w14:textId="77777777" w:rsidR="001900E3" w:rsidRPr="002C6B7B" w:rsidRDefault="001900E3" w:rsidP="00201A59">
      <w:pPr>
        <w:pStyle w:val="ListParagraph"/>
        <w:numPr>
          <w:ilvl w:val="0"/>
          <w:numId w:val="9"/>
        </w:numPr>
        <w:spacing w:after="160" w:line="259" w:lineRule="auto"/>
        <w:ind w:left="714" w:hanging="357"/>
        <w:contextualSpacing w:val="0"/>
        <w:rPr>
          <w:rFonts w:cs="Arial"/>
        </w:rPr>
      </w:pPr>
      <w:r w:rsidRPr="002C6B7B">
        <w:rPr>
          <w:rFonts w:cs="Arial"/>
        </w:rPr>
        <w:t>The system “Depend” does not produce reliable reports figures. Thus, the Head of the Treasury Direct Unit has to recalculate the figures in an Excel spreadsheet, increasing human error risks.</w:t>
      </w:r>
    </w:p>
    <w:p w14:paraId="0CD1F518" w14:textId="77777777" w:rsidR="001900E3" w:rsidRDefault="001900E3" w:rsidP="00201A59">
      <w:pPr>
        <w:pStyle w:val="ListParagraph"/>
        <w:numPr>
          <w:ilvl w:val="0"/>
          <w:numId w:val="9"/>
        </w:numPr>
        <w:spacing w:after="160" w:line="259" w:lineRule="auto"/>
        <w:rPr>
          <w:rFonts w:cs="Arial"/>
        </w:rPr>
      </w:pPr>
      <w:r>
        <w:rPr>
          <w:rFonts w:cs="Arial"/>
        </w:rPr>
        <w:t xml:space="preserve">The creation of the internet platform and associated software has reduced the manual workload of the Treasury Direct Unit, which is a positive development. But, at the same time, it has increased the Unit dependence on technology and, therefore, augmented exposure to technology failures. For example, if the Head of the Treasury Direct Unit cannot access her administrator “window”, it is impossible to </w:t>
      </w:r>
      <w:r w:rsidRPr="00B3490E">
        <w:rPr>
          <w:rFonts w:cs="Arial"/>
        </w:rPr>
        <w:t>register securities purchase</w:t>
      </w:r>
      <w:r>
        <w:rPr>
          <w:rFonts w:cs="Arial"/>
        </w:rPr>
        <w:t>s</w:t>
      </w:r>
      <w:r w:rsidRPr="00B3490E">
        <w:rPr>
          <w:rFonts w:cs="Arial"/>
        </w:rPr>
        <w:t xml:space="preserve"> and update outstanding amounts </w:t>
      </w:r>
      <w:r>
        <w:rPr>
          <w:rFonts w:cs="Arial"/>
        </w:rPr>
        <w:t>held</w:t>
      </w:r>
      <w:r w:rsidRPr="00B3490E">
        <w:rPr>
          <w:rFonts w:cs="Arial"/>
        </w:rPr>
        <w:t xml:space="preserve"> by individual investors</w:t>
      </w:r>
      <w:r>
        <w:rPr>
          <w:rFonts w:cs="Arial"/>
        </w:rPr>
        <w:t>. A backup solution could be implemented, in case of technology failure, to allow exceptionally using the old paper-based process.</w:t>
      </w:r>
    </w:p>
    <w:p w14:paraId="6DB44CBE" w14:textId="77777777" w:rsidR="001900E3" w:rsidRPr="008E624C" w:rsidRDefault="001900E3" w:rsidP="001900E3">
      <w:pPr>
        <w:pStyle w:val="ListParagraph"/>
        <w:rPr>
          <w:rFonts w:cs="Arial"/>
        </w:rPr>
      </w:pPr>
    </w:p>
    <w:p w14:paraId="38F1099D" w14:textId="343B612C" w:rsidR="001900E3" w:rsidRDefault="000A7513" w:rsidP="00201A59">
      <w:pPr>
        <w:pStyle w:val="Heading1"/>
        <w:keepNext/>
        <w:keepLines/>
        <w:pageBreakBefore w:val="0"/>
        <w:numPr>
          <w:ilvl w:val="0"/>
          <w:numId w:val="10"/>
        </w:numPr>
        <w:tabs>
          <w:tab w:val="clear" w:pos="567"/>
          <w:tab w:val="clear" w:pos="3175"/>
          <w:tab w:val="clear" w:pos="4763"/>
        </w:tabs>
        <w:spacing w:before="240" w:after="0" w:line="259" w:lineRule="auto"/>
        <w:jc w:val="left"/>
        <w:rPr>
          <w:lang w:val="en-US"/>
        </w:rPr>
      </w:pPr>
      <w:bookmarkStart w:id="9" w:name="_Toc523327588"/>
      <w:r>
        <w:rPr>
          <w:lang w:val="en-US"/>
        </w:rPr>
        <w:t>Operational Risk Management Framework</w:t>
      </w:r>
      <w:bookmarkEnd w:id="9"/>
    </w:p>
    <w:p w14:paraId="120A97CA" w14:textId="77777777" w:rsidR="001900E3" w:rsidRPr="00493511" w:rsidRDefault="001900E3" w:rsidP="001900E3"/>
    <w:p w14:paraId="3B6DEC5C" w14:textId="54C51105" w:rsidR="001900E3" w:rsidRDefault="001900E3" w:rsidP="001900E3">
      <w:pPr>
        <w:rPr>
          <w:rFonts w:cs="Arial"/>
        </w:rPr>
      </w:pPr>
      <w:r>
        <w:rPr>
          <w:rFonts w:cs="Arial"/>
        </w:rPr>
        <w:t>With the support of the EU TA assistance, the PDMD started to implement an ORM framework similar to the one developed by the World Bank and summarized in the figure below:</w:t>
      </w:r>
    </w:p>
    <w:p w14:paraId="272AC861" w14:textId="77777777" w:rsidR="000A7513" w:rsidRDefault="000A7513" w:rsidP="001900E3">
      <w:pPr>
        <w:rPr>
          <w:rFonts w:cs="Arial"/>
        </w:rPr>
      </w:pPr>
    </w:p>
    <w:p w14:paraId="0311664F" w14:textId="77777777" w:rsidR="001900E3" w:rsidRPr="004778FA" w:rsidRDefault="001900E3" w:rsidP="001900E3">
      <w:pPr>
        <w:pStyle w:val="NoSpacing"/>
        <w:rPr>
          <w:rFonts w:ascii="Arial" w:hAnsi="Arial" w:cs="Arial"/>
          <w:b/>
          <w:i/>
        </w:rPr>
      </w:pPr>
      <w:r>
        <w:rPr>
          <w:rFonts w:ascii="Arial" w:hAnsi="Arial" w:cs="Arial"/>
          <w:b/>
          <w:i/>
        </w:rPr>
        <w:t>Figure 1. ORM framework</w:t>
      </w:r>
    </w:p>
    <w:p w14:paraId="4D8E92DB" w14:textId="77777777" w:rsidR="001900E3" w:rsidRDefault="001900E3" w:rsidP="001900E3">
      <w:pPr>
        <w:rPr>
          <w:rFonts w:cs="Arial"/>
        </w:rPr>
      </w:pPr>
      <w:r w:rsidRPr="00C4461D">
        <w:rPr>
          <w:rFonts w:cs="Arial"/>
          <w:noProof/>
          <w:lang w:eastAsia="en-US"/>
        </w:rPr>
        <w:lastRenderedPageBreak/>
        <w:drawing>
          <wp:inline distT="0" distB="0" distL="0" distR="0" wp14:anchorId="45167064" wp14:editId="08E2942F">
            <wp:extent cx="5143500" cy="31242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5159697" cy="3134038"/>
                    </a:xfrm>
                    <a:prstGeom prst="rect">
                      <a:avLst/>
                    </a:prstGeom>
                  </pic:spPr>
                </pic:pic>
              </a:graphicData>
            </a:graphic>
          </wp:inline>
        </w:drawing>
      </w:r>
    </w:p>
    <w:p w14:paraId="71A4B134" w14:textId="77777777" w:rsidR="001900E3" w:rsidRDefault="001900E3" w:rsidP="001900E3">
      <w:pPr>
        <w:rPr>
          <w:rFonts w:cs="Arial"/>
          <w:i/>
          <w:sz w:val="18"/>
          <w:szCs w:val="18"/>
        </w:rPr>
      </w:pPr>
      <w:r>
        <w:rPr>
          <w:rFonts w:cs="Arial"/>
          <w:i/>
          <w:sz w:val="18"/>
          <w:szCs w:val="18"/>
        </w:rPr>
        <w:t xml:space="preserve">Source: </w:t>
      </w:r>
      <w:r w:rsidRPr="00C4461D">
        <w:rPr>
          <w:rFonts w:cs="Arial"/>
          <w:i/>
          <w:sz w:val="18"/>
          <w:szCs w:val="18"/>
        </w:rPr>
        <w:t>Six-Steps ORM Framework - Guidance for ORM in Government Debt Management, World Bank, 2010</w:t>
      </w:r>
    </w:p>
    <w:p w14:paraId="4A8C02C9" w14:textId="77777777" w:rsidR="001900E3" w:rsidRDefault="001900E3" w:rsidP="001900E3">
      <w:pPr>
        <w:rPr>
          <w:rFonts w:cs="Arial"/>
        </w:rPr>
      </w:pPr>
    </w:p>
    <w:p w14:paraId="562EF9F9" w14:textId="5D60182B" w:rsidR="001900E3" w:rsidRDefault="001900E3" w:rsidP="001900E3">
      <w:pPr>
        <w:rPr>
          <w:rFonts w:cs="Arial"/>
        </w:rPr>
      </w:pPr>
      <w:r>
        <w:rPr>
          <w:rFonts w:cs="Arial"/>
        </w:rPr>
        <w:t xml:space="preserve">The staff worked on understanding and documenting main business activities (step 1), identifying, assessing and measuring operational risks (step 2) and developing several risk management strategies to prevent, reduce or sustain risks (step 3). </w:t>
      </w:r>
    </w:p>
    <w:p w14:paraId="502009B6" w14:textId="77777777" w:rsidR="001900E3" w:rsidRDefault="001900E3" w:rsidP="001900E3">
      <w:pPr>
        <w:rPr>
          <w:rFonts w:cs="Arial"/>
        </w:rPr>
      </w:pPr>
    </w:p>
    <w:p w14:paraId="63389674" w14:textId="7230AB14" w:rsidR="001900E3" w:rsidRDefault="001900E3" w:rsidP="001900E3">
      <w:pPr>
        <w:rPr>
          <w:rFonts w:cs="Arial"/>
        </w:rPr>
      </w:pPr>
      <w:r>
        <w:rPr>
          <w:rFonts w:cs="Arial"/>
        </w:rPr>
        <w:t>Some risk management strategies are even starting to be implemented (step 4), like the separation of the debt database administrator functions between the IT department and the Head of the BO. Monitoring the performance of each unit (step 5) and improving continuously operational risk management (step 6), as well as PDMD reporting on ORM, are steps not undertaken yet.</w:t>
      </w:r>
    </w:p>
    <w:p w14:paraId="3EE1A982" w14:textId="77777777" w:rsidR="001900E3" w:rsidRDefault="001900E3" w:rsidP="001900E3">
      <w:pPr>
        <w:rPr>
          <w:rFonts w:cs="Arial"/>
        </w:rPr>
      </w:pPr>
    </w:p>
    <w:p w14:paraId="0CF0C78C" w14:textId="7853B8B3" w:rsidR="001900E3" w:rsidRDefault="001900E3" w:rsidP="001900E3">
      <w:pPr>
        <w:rPr>
          <w:rFonts w:cs="Arial"/>
        </w:rPr>
      </w:pPr>
      <w:r>
        <w:rPr>
          <w:rFonts w:cs="Arial"/>
        </w:rPr>
        <w:t xml:space="preserve">But, above all, the PDMD still needs to establish a formal operational risk management structure, which is the foundation of the ORM framework. Usually, the structure to manage operational risks includes a first level monitoring, where all the units are monitoring the operational risks associated with their own activities and reporting continuously incidents, improvements, new risks identified to the second level. </w:t>
      </w:r>
    </w:p>
    <w:p w14:paraId="36E83D1F" w14:textId="77777777" w:rsidR="001900E3" w:rsidRDefault="001900E3" w:rsidP="001900E3">
      <w:pPr>
        <w:rPr>
          <w:rFonts w:cs="Arial"/>
        </w:rPr>
      </w:pPr>
    </w:p>
    <w:p w14:paraId="0C23EC73" w14:textId="7821773C" w:rsidR="001900E3" w:rsidRDefault="001900E3" w:rsidP="001900E3">
      <w:pPr>
        <w:rPr>
          <w:rFonts w:cs="Arial"/>
        </w:rPr>
      </w:pPr>
      <w:r>
        <w:rPr>
          <w:rFonts w:cs="Arial"/>
        </w:rPr>
        <w:t>This second level is the team responsible for ORM and control, usually located in the Middle Office (MO). Then, the second level would report directly to senior management and prepare, once a year, a formal ORM report to the risk management committee of the MoF.</w:t>
      </w:r>
    </w:p>
    <w:p w14:paraId="1C64CD9B" w14:textId="77777777" w:rsidR="001900E3" w:rsidRDefault="001900E3" w:rsidP="001900E3">
      <w:pPr>
        <w:rPr>
          <w:rFonts w:cs="Arial"/>
        </w:rPr>
      </w:pPr>
    </w:p>
    <w:p w14:paraId="5932C028" w14:textId="6A611FCF" w:rsidR="001900E3" w:rsidRDefault="001900E3" w:rsidP="001900E3">
      <w:pPr>
        <w:rPr>
          <w:rFonts w:cs="Arial"/>
        </w:rPr>
      </w:pPr>
      <w:r>
        <w:rPr>
          <w:rFonts w:cs="Arial"/>
        </w:rPr>
        <w:t xml:space="preserve">Considering PDMD </w:t>
      </w:r>
      <w:r w:rsidR="00A61C41">
        <w:rPr>
          <w:rFonts w:cs="Arial"/>
        </w:rPr>
        <w:t xml:space="preserve">has </w:t>
      </w:r>
      <w:r>
        <w:rPr>
          <w:rFonts w:cs="Arial"/>
        </w:rPr>
        <w:t xml:space="preserve">limited number of staff who could be dedicated to ORM, this structure should be simplified and tasks reduced to the most essential ones. Therefore, each unit will monitor its own operational risks and report continuously to </w:t>
      </w:r>
      <w:r w:rsidR="00007C1C">
        <w:rPr>
          <w:rFonts w:cs="Arial"/>
        </w:rPr>
        <w:t>the unit Head and MO Head directly of any incidents experienced.</w:t>
      </w:r>
      <w:r>
        <w:rPr>
          <w:rFonts w:cs="Arial"/>
        </w:rPr>
        <w:t xml:space="preserve">. Reporting should be </w:t>
      </w:r>
      <w:r w:rsidR="00007C1C">
        <w:rPr>
          <w:rFonts w:cs="Arial"/>
        </w:rPr>
        <w:t xml:space="preserve">based on a standardized template with any additional information provided being </w:t>
      </w:r>
      <w:r>
        <w:rPr>
          <w:rFonts w:cs="Arial"/>
        </w:rPr>
        <w:t>kept to the simplest expression (a simple word page, for example)</w:t>
      </w:r>
      <w:r w:rsidR="00007C1C">
        <w:rPr>
          <w:rFonts w:cs="Arial"/>
        </w:rPr>
        <w:t>.</w:t>
      </w:r>
      <w:r>
        <w:rPr>
          <w:rFonts w:cs="Arial"/>
        </w:rPr>
        <w:t xml:space="preserve"> </w:t>
      </w:r>
      <w:r w:rsidR="00007C1C">
        <w:rPr>
          <w:rFonts w:cs="Arial"/>
        </w:rPr>
        <w:t xml:space="preserve">The MO will be responsible for </w:t>
      </w:r>
      <w:r>
        <w:rPr>
          <w:rFonts w:cs="Arial"/>
        </w:rPr>
        <w:t>responsible for coordinating with the other units and filing units’ messages.</w:t>
      </w:r>
    </w:p>
    <w:p w14:paraId="7600BD65" w14:textId="77777777" w:rsidR="001900E3" w:rsidRDefault="001900E3" w:rsidP="001900E3">
      <w:pPr>
        <w:rPr>
          <w:rFonts w:cs="Arial"/>
        </w:rPr>
      </w:pPr>
    </w:p>
    <w:p w14:paraId="6CF4A3AE" w14:textId="7102D8A6" w:rsidR="002859DD" w:rsidRDefault="001900E3" w:rsidP="002859DD">
      <w:pPr>
        <w:rPr>
          <w:rFonts w:cs="Arial"/>
        </w:rPr>
      </w:pPr>
      <w:r>
        <w:rPr>
          <w:rFonts w:cs="Arial"/>
        </w:rPr>
        <w:lastRenderedPageBreak/>
        <w:t xml:space="preserve">The </w:t>
      </w:r>
      <w:r w:rsidR="00007C1C">
        <w:rPr>
          <w:rFonts w:cs="Arial"/>
        </w:rPr>
        <w:t>MO</w:t>
      </w:r>
      <w:r>
        <w:rPr>
          <w:rFonts w:cs="Arial"/>
        </w:rPr>
        <w:t xml:space="preserve"> should organize regular meetings on risk management with the heads of the other units and the Director – once a quarter  – and monitor if the decisions taken during these meetings are implemented. If some topics require it, they should be submitted for decision by the Deputy-minister.</w:t>
      </w:r>
      <w:r w:rsidR="002859DD">
        <w:rPr>
          <w:rFonts w:cs="Arial"/>
        </w:rPr>
        <w:t xml:space="preserve"> The meeting will discuss the reasons and sources for occurrence of key incidents; its impact on the government’s reputational risk, liabilities and budget; and the solution for risk control and mitigation. A reporting template will be required to be prepared by PDMD based on which designated officials in individual units will report to the unit Head and MO Head simultaneously as and when the occurrence of such incidents takes place. For this purpose, the MO will need to consolidate information on key incidents on a monthly basis and monitor all types of operational risks across PDMD. </w:t>
      </w:r>
    </w:p>
    <w:p w14:paraId="54982C9F" w14:textId="77777777" w:rsidR="002859DD" w:rsidRDefault="002859DD" w:rsidP="001900E3">
      <w:pPr>
        <w:rPr>
          <w:rFonts w:cs="Arial"/>
        </w:rPr>
      </w:pPr>
    </w:p>
    <w:p w14:paraId="00486769" w14:textId="117F1D6A" w:rsidR="001900E3" w:rsidRDefault="001900E3" w:rsidP="001900E3">
      <w:pPr>
        <w:rPr>
          <w:rFonts w:cs="Arial"/>
        </w:rPr>
      </w:pPr>
      <w:r>
        <w:rPr>
          <w:rFonts w:cs="Arial"/>
        </w:rPr>
        <w:t xml:space="preserve">Once a year, the MO will be responsible for gathering other units’ inputs to update the BCP document. MO should also </w:t>
      </w:r>
      <w:bookmarkStart w:id="10" w:name="_Hlk492586702"/>
      <w:r>
        <w:rPr>
          <w:rFonts w:cs="Arial"/>
        </w:rPr>
        <w:t>prepare a short ORM report focusing on (i) main new exposure to operational risk, (ii) suggested mitigation measures, (iii) actions to be undertaken by other units or the IT department to implement these measures</w:t>
      </w:r>
      <w:bookmarkEnd w:id="10"/>
      <w:r>
        <w:rPr>
          <w:rFonts w:cs="Arial"/>
        </w:rPr>
        <w:t>.</w:t>
      </w:r>
    </w:p>
    <w:p w14:paraId="7789C00A" w14:textId="77777777" w:rsidR="001900E3" w:rsidRDefault="001900E3" w:rsidP="001900E3">
      <w:pPr>
        <w:rPr>
          <w:rFonts w:cs="Arial"/>
        </w:rPr>
      </w:pPr>
    </w:p>
    <w:p w14:paraId="74B3C470" w14:textId="153E5C2E" w:rsidR="001900E3" w:rsidRDefault="001900E3" w:rsidP="001900E3">
      <w:pPr>
        <w:rPr>
          <w:rFonts w:cs="Arial"/>
        </w:rPr>
      </w:pPr>
      <w:r>
        <w:rPr>
          <w:rFonts w:cs="Arial"/>
        </w:rPr>
        <w:t xml:space="preserve">If necessary, the </w:t>
      </w:r>
      <w:r w:rsidR="00007C1C">
        <w:rPr>
          <w:rFonts w:cs="Arial"/>
        </w:rPr>
        <w:t>MO</w:t>
      </w:r>
      <w:r>
        <w:rPr>
          <w:rFonts w:cs="Arial"/>
        </w:rPr>
        <w:t xml:space="preserve"> could develop new</w:t>
      </w:r>
      <w:r w:rsidRPr="004568D0">
        <w:rPr>
          <w:rFonts w:cs="Arial"/>
        </w:rPr>
        <w:t xml:space="preserve"> operational risk management policies and procedures</w:t>
      </w:r>
      <w:r>
        <w:rPr>
          <w:rFonts w:cs="Arial"/>
        </w:rPr>
        <w:t>. But, considering this position will not be a full-time one, these tasks should not be too ambitious and overload the person responsible for ORM.</w:t>
      </w:r>
    </w:p>
    <w:p w14:paraId="625E3B7E" w14:textId="77777777" w:rsidR="001900E3" w:rsidRDefault="001900E3" w:rsidP="001900E3">
      <w:pPr>
        <w:rPr>
          <w:rFonts w:cs="Arial"/>
        </w:rPr>
      </w:pPr>
    </w:p>
    <w:p w14:paraId="2F83FDB8" w14:textId="7A99339E" w:rsidR="001900E3" w:rsidRDefault="001900E3" w:rsidP="001900E3">
      <w:pPr>
        <w:rPr>
          <w:rFonts w:cs="Arial"/>
        </w:rPr>
      </w:pPr>
      <w:r>
        <w:rPr>
          <w:rFonts w:cs="Arial"/>
        </w:rPr>
        <w:t>It must be clear that if the PDMD wants to implement a more sophisticated ORM structure, it will need to name one, or more, full-time staff for operational risk management.</w:t>
      </w:r>
    </w:p>
    <w:p w14:paraId="75A93576" w14:textId="380C00A1" w:rsidR="001900E3" w:rsidRDefault="001900E3" w:rsidP="001900E3">
      <w:pPr>
        <w:rPr>
          <w:rFonts w:cs="Arial"/>
        </w:rPr>
      </w:pPr>
    </w:p>
    <w:p w14:paraId="794C846D" w14:textId="77777777" w:rsidR="00AA28B3" w:rsidRDefault="00AA28B3" w:rsidP="00AA28B3">
      <w:pPr>
        <w:rPr>
          <w:rFonts w:cs="Arial"/>
        </w:rPr>
      </w:pPr>
    </w:p>
    <w:p w14:paraId="07814E99" w14:textId="77777777" w:rsidR="00AA28B3" w:rsidRDefault="00AA28B3" w:rsidP="00AA28B3">
      <w:pPr>
        <w:rPr>
          <w:rFonts w:cs="Arial"/>
        </w:rPr>
      </w:pPr>
      <w:r>
        <w:rPr>
          <w:rFonts w:cs="Arial"/>
        </w:rPr>
        <w:t xml:space="preserve">Separately, the MO will report on overall operational risks and compliance on the Business Continuity Plan to the Director PDMD through an annual report, whereby any existing risks of major or significant category will be required to be flagged to the Deputy Minister for suitable action and resolution. Based on the availability of resources within PDMD, such reporting could be subsequently extended to quarterly reports,  </w:t>
      </w:r>
    </w:p>
    <w:p w14:paraId="3F80EE44" w14:textId="77777777" w:rsidR="00AA28B3" w:rsidRPr="00C4461D" w:rsidRDefault="00AA28B3" w:rsidP="001900E3">
      <w:pPr>
        <w:rPr>
          <w:rFonts w:cs="Arial"/>
        </w:rPr>
      </w:pPr>
    </w:p>
    <w:p w14:paraId="7774E3DA" w14:textId="77777777" w:rsidR="001900E3" w:rsidRDefault="001900E3" w:rsidP="00201A59">
      <w:pPr>
        <w:pStyle w:val="Heading1"/>
        <w:keepNext/>
        <w:keepLines/>
        <w:pageBreakBefore w:val="0"/>
        <w:numPr>
          <w:ilvl w:val="0"/>
          <w:numId w:val="10"/>
        </w:numPr>
        <w:tabs>
          <w:tab w:val="clear" w:pos="567"/>
          <w:tab w:val="clear" w:pos="3175"/>
          <w:tab w:val="clear" w:pos="4763"/>
        </w:tabs>
        <w:spacing w:before="240" w:after="0" w:line="259" w:lineRule="auto"/>
        <w:jc w:val="left"/>
        <w:rPr>
          <w:lang w:val="en-US"/>
        </w:rPr>
      </w:pPr>
      <w:bookmarkStart w:id="11" w:name="_Toc523327589"/>
      <w:r>
        <w:rPr>
          <w:lang w:val="en-US"/>
        </w:rPr>
        <w:t>Business Continuity</w:t>
      </w:r>
      <w:bookmarkEnd w:id="11"/>
    </w:p>
    <w:p w14:paraId="5A56294A" w14:textId="77777777" w:rsidR="001900E3" w:rsidRDefault="001900E3" w:rsidP="001900E3">
      <w:pPr>
        <w:rPr>
          <w:rFonts w:cs="Arial"/>
        </w:rPr>
      </w:pPr>
    </w:p>
    <w:p w14:paraId="2B84A138" w14:textId="12822276" w:rsidR="001C157E" w:rsidRPr="002C6B7B" w:rsidRDefault="002859DD" w:rsidP="001C157E">
      <w:r w:rsidRPr="002C6B7B">
        <w:t xml:space="preserve">A Business Continuity Plan (BCP) is part of operational risk management. </w:t>
      </w:r>
      <w:r w:rsidR="001C157E" w:rsidRPr="002C6B7B">
        <w:t>It serves as an action plan during incidents and to recover critical activities afterwards. It allows sustaining the objectives and the strategy of the entity in the face of disruptive events. A disruptive event is any event (fire, systems failure, natural disasters, etc.) that interrupts the essential activities of the entity and could eventually prevent critical products and services to be delivered to clients.</w:t>
      </w:r>
    </w:p>
    <w:p w14:paraId="22288DA2" w14:textId="77777777" w:rsidR="001C157E" w:rsidRPr="002C6B7B" w:rsidRDefault="001C157E" w:rsidP="001900E3"/>
    <w:p w14:paraId="666A310D" w14:textId="08CE51E7" w:rsidR="002859DD" w:rsidRPr="000F2988" w:rsidRDefault="001C157E" w:rsidP="001900E3">
      <w:pPr>
        <w:rPr>
          <w:rFonts w:cs="Arial"/>
        </w:rPr>
      </w:pPr>
      <w:r w:rsidRPr="002C6B7B">
        <w:t>It is important to understand that risks addressed by the BCP are only a portion of all the operational risks faced by a debt management office, explicitly the risks associated to business continuity. For example, inadequate recruitment policies or inefficient procedures can affect the performance of the PDMD, but not necessarily the continuity of its critical activities, and therefore are not handled in the BCP.</w:t>
      </w:r>
    </w:p>
    <w:p w14:paraId="027D024A" w14:textId="77777777" w:rsidR="002859DD" w:rsidRDefault="002859DD" w:rsidP="001900E3">
      <w:pPr>
        <w:rPr>
          <w:rFonts w:cs="Arial"/>
        </w:rPr>
      </w:pPr>
    </w:p>
    <w:p w14:paraId="2445CAC6" w14:textId="39984996" w:rsidR="001900E3" w:rsidRDefault="001900E3" w:rsidP="001900E3">
      <w:pPr>
        <w:rPr>
          <w:rFonts w:cs="Arial"/>
        </w:rPr>
      </w:pPr>
      <w:r>
        <w:rPr>
          <w:rFonts w:cs="Arial"/>
        </w:rPr>
        <w:t>The PDMD has completed a draft of the Business Continuity Plan (BCP)</w:t>
      </w:r>
      <w:r w:rsidR="001C157E">
        <w:rPr>
          <w:rFonts w:cs="Arial"/>
        </w:rPr>
        <w:t xml:space="preserve"> with support from EU TA project</w:t>
      </w:r>
      <w:r>
        <w:rPr>
          <w:rFonts w:cs="Arial"/>
        </w:rPr>
        <w:t>. This BCP document is covering only the PDMD. The MoF does not have any BCP document.</w:t>
      </w:r>
      <w:r w:rsidR="001C157E">
        <w:rPr>
          <w:rFonts w:cs="Arial"/>
        </w:rPr>
        <w:t xml:space="preserve"> </w:t>
      </w:r>
      <w:r>
        <w:rPr>
          <w:rFonts w:cs="Arial"/>
        </w:rPr>
        <w:t>Notwithstanding progress made in this area, the PDMD is still vulnerable to any negative event that would hit the Ministry and prevent staff from working at their workplace. PDMD would hardly be in the capacity to ensure quickly the continuation of its critical activities.</w:t>
      </w:r>
    </w:p>
    <w:p w14:paraId="7DF871B2" w14:textId="3F2EC3D5" w:rsidR="001C157E" w:rsidRDefault="001C157E" w:rsidP="001900E3">
      <w:pPr>
        <w:rPr>
          <w:rFonts w:cs="Arial"/>
        </w:rPr>
      </w:pPr>
    </w:p>
    <w:p w14:paraId="5A327AD6" w14:textId="7EE1B846" w:rsidR="001C157E" w:rsidRPr="002C6B7B" w:rsidRDefault="001C157E" w:rsidP="001C157E">
      <w:pPr>
        <w:rPr>
          <w:rFonts w:cs="Arial"/>
        </w:rPr>
      </w:pPr>
      <w:r w:rsidRPr="002C6B7B">
        <w:rPr>
          <w:rFonts w:cs="Arial"/>
        </w:rPr>
        <w:t xml:space="preserve">All the units of the PDMD </w:t>
      </w:r>
      <w:r w:rsidR="004F69FE">
        <w:rPr>
          <w:rFonts w:cs="Arial"/>
        </w:rPr>
        <w:t>should be</w:t>
      </w:r>
      <w:r w:rsidRPr="002C6B7B">
        <w:rPr>
          <w:rFonts w:cs="Arial"/>
        </w:rPr>
        <w:t xml:space="preserve"> involved in maintaining and improving this BCP, but the Middle Office is responsible for collecting information and updating the document on a regular basis. Indeed, the plan is an essential part of operational risk management and, therefore, the risk unit takes the lead in the design and implementation of the BCP.</w:t>
      </w:r>
    </w:p>
    <w:p w14:paraId="790293FA" w14:textId="77777777" w:rsidR="004F69FE" w:rsidRDefault="004F69FE" w:rsidP="001C157E">
      <w:pPr>
        <w:rPr>
          <w:rFonts w:cs="Arial"/>
        </w:rPr>
      </w:pPr>
    </w:p>
    <w:p w14:paraId="5D9F5123" w14:textId="34674659" w:rsidR="001C157E" w:rsidRPr="002C6B7B" w:rsidRDefault="001C157E" w:rsidP="001C157E">
      <w:pPr>
        <w:rPr>
          <w:rFonts w:cs="Arial"/>
        </w:rPr>
      </w:pPr>
      <w:r w:rsidRPr="002C6B7B">
        <w:rPr>
          <w:rFonts w:cs="Arial"/>
        </w:rPr>
        <w:t>The BCP is designed to improve PDMD capacity to recover from disruptions and to reduce the impact of disruptions on PDMD critical activities. To this end, the PDMD implements measures to mitigate operational risks, if feasible. The operational risks are identified and classified according to their:</w:t>
      </w:r>
    </w:p>
    <w:p w14:paraId="43F88D0C" w14:textId="77777777" w:rsidR="001C157E" w:rsidRPr="002C6B7B" w:rsidRDefault="001C157E" w:rsidP="001C157E">
      <w:pPr>
        <w:pStyle w:val="ListParagraph"/>
        <w:numPr>
          <w:ilvl w:val="0"/>
          <w:numId w:val="14"/>
        </w:numPr>
        <w:spacing w:after="160" w:line="259" w:lineRule="auto"/>
        <w:rPr>
          <w:rFonts w:cs="Arial"/>
        </w:rPr>
      </w:pPr>
      <w:r w:rsidRPr="002C6B7B">
        <w:rPr>
          <w:rFonts w:cs="Arial"/>
        </w:rPr>
        <w:t xml:space="preserve">Probability of occurrence: Very high / high / medium / low </w:t>
      </w:r>
    </w:p>
    <w:p w14:paraId="3147DD54" w14:textId="77777777" w:rsidR="001C157E" w:rsidRPr="002C6B7B" w:rsidRDefault="001C157E" w:rsidP="001C157E">
      <w:pPr>
        <w:pStyle w:val="ListParagraph"/>
        <w:numPr>
          <w:ilvl w:val="0"/>
          <w:numId w:val="14"/>
        </w:numPr>
        <w:spacing w:after="160" w:line="259" w:lineRule="auto"/>
        <w:rPr>
          <w:rFonts w:cs="Arial"/>
        </w:rPr>
      </w:pPr>
      <w:r w:rsidRPr="002C6B7B">
        <w:rPr>
          <w:rFonts w:cs="Arial"/>
        </w:rPr>
        <w:t xml:space="preserve">Severity of impact: Important / Significant / medium / low </w:t>
      </w:r>
    </w:p>
    <w:p w14:paraId="2D029C6F" w14:textId="1F6AD0E3" w:rsidR="001C157E" w:rsidRPr="002C6B7B" w:rsidRDefault="001C157E" w:rsidP="001C157E">
      <w:pPr>
        <w:rPr>
          <w:rFonts w:cs="Arial"/>
        </w:rPr>
      </w:pPr>
      <w:r w:rsidRPr="002C6B7B">
        <w:rPr>
          <w:rFonts w:cs="Arial"/>
        </w:rPr>
        <w:t>Consequently, the BCP contains (i) a list of the operational risks identified by the PDMD</w:t>
      </w:r>
      <w:r w:rsidR="00EA484B">
        <w:rPr>
          <w:rFonts w:cs="Arial"/>
        </w:rPr>
        <w:t xml:space="preserve"> (Table 1)</w:t>
      </w:r>
      <w:r w:rsidRPr="002C6B7B">
        <w:rPr>
          <w:rFonts w:cs="Arial"/>
        </w:rPr>
        <w:t>, (ii) a general description of critical processes, staff and systems, (iii) an assessment of potential impact of operational risks on PDMD critical activities, the Business Impact Analysis, (iv) a review of measures implemented to mitigate operational risks, and (v) a plan to resume critical activities following a major incident, the Disaster Recovery Plan. These five components must be reviewed annually.</w:t>
      </w:r>
    </w:p>
    <w:p w14:paraId="1114F872" w14:textId="77777777" w:rsidR="004F69FE" w:rsidRDefault="004F69FE" w:rsidP="001C157E">
      <w:pPr>
        <w:rPr>
          <w:rFonts w:cs="Arial"/>
        </w:rPr>
      </w:pPr>
    </w:p>
    <w:p w14:paraId="4BB86E17" w14:textId="77777777" w:rsidR="004F69FE" w:rsidRDefault="004F69FE" w:rsidP="000F2988">
      <w:pPr>
        <w:pStyle w:val="NoSpacing"/>
        <w:numPr>
          <w:ilvl w:val="0"/>
          <w:numId w:val="14"/>
        </w:numPr>
        <w:rPr>
          <w:rFonts w:ascii="Arial" w:hAnsi="Arial" w:cs="Arial"/>
          <w:b/>
          <w:i/>
        </w:rPr>
      </w:pPr>
    </w:p>
    <w:p w14:paraId="1F022BE8" w14:textId="6C8BD6B2" w:rsidR="000F2988" w:rsidRPr="002C6B7B" w:rsidRDefault="000F2988" w:rsidP="002C6B7B">
      <w:pPr>
        <w:pStyle w:val="NoSpacing"/>
        <w:ind w:left="720"/>
        <w:rPr>
          <w:rFonts w:ascii="Arial" w:hAnsi="Arial" w:cs="Arial"/>
          <w:b/>
          <w:i/>
        </w:rPr>
      </w:pPr>
      <w:r w:rsidRPr="002C6B7B">
        <w:rPr>
          <w:rFonts w:ascii="Arial" w:hAnsi="Arial" w:cs="Arial"/>
          <w:b/>
          <w:i/>
        </w:rPr>
        <w:t>Table 1. Categories of operational risks</w:t>
      </w:r>
    </w:p>
    <w:tbl>
      <w:tblPr>
        <w:tblpPr w:leftFromText="141" w:rightFromText="141" w:vertAnchor="text" w:horzAnchor="margin" w:tblpY="222"/>
        <w:tblW w:w="9067" w:type="dxa"/>
        <w:tblCellMar>
          <w:left w:w="70" w:type="dxa"/>
          <w:right w:w="70" w:type="dxa"/>
        </w:tblCellMar>
        <w:tblLook w:val="04A0" w:firstRow="1" w:lastRow="0" w:firstColumn="1" w:lastColumn="0" w:noHBand="0" w:noVBand="1"/>
      </w:tblPr>
      <w:tblGrid>
        <w:gridCol w:w="2972"/>
        <w:gridCol w:w="3119"/>
        <w:gridCol w:w="2976"/>
      </w:tblGrid>
      <w:tr w:rsidR="000F2988" w:rsidRPr="003B45B1" w14:paraId="0E347CC7" w14:textId="77777777" w:rsidTr="008D48CF">
        <w:trPr>
          <w:trHeight w:val="530"/>
        </w:trPr>
        <w:tc>
          <w:tcPr>
            <w:tcW w:w="9067" w:type="dxa"/>
            <w:gridSpan w:val="3"/>
            <w:tcBorders>
              <w:top w:val="single" w:sz="4" w:space="0" w:color="auto"/>
              <w:left w:val="single" w:sz="4" w:space="0" w:color="auto"/>
              <w:bottom w:val="single" w:sz="4" w:space="0" w:color="auto"/>
              <w:right w:val="single" w:sz="4" w:space="0" w:color="000000"/>
            </w:tcBorders>
            <w:shd w:val="clear" w:color="auto" w:fill="D6E3BC"/>
            <w:vAlign w:val="center"/>
            <w:hideMark/>
          </w:tcPr>
          <w:p w14:paraId="315B14AA" w14:textId="77777777" w:rsidR="000F2988" w:rsidRPr="003B45B1" w:rsidRDefault="000F2988" w:rsidP="008D48CF">
            <w:pPr>
              <w:jc w:val="center"/>
              <w:rPr>
                <w:rFonts w:ascii="Garamond" w:eastAsia="Times New Roman" w:hAnsi="Garamond" w:cs="Calibri"/>
                <w:color w:val="FFFFFF"/>
                <w:sz w:val="24"/>
                <w:szCs w:val="24"/>
                <w:lang w:eastAsia="fr-CH"/>
              </w:rPr>
            </w:pPr>
            <w:r w:rsidRPr="003B45B1">
              <w:rPr>
                <w:rFonts w:ascii="Garamond" w:eastAsia="Times New Roman" w:hAnsi="Garamond" w:cs="Calibri"/>
                <w:color w:val="000000" w:themeColor="text1"/>
                <w:sz w:val="24"/>
                <w:szCs w:val="24"/>
                <w:lang w:eastAsia="fr-CH"/>
              </w:rPr>
              <w:t>Infrastructure and Technology Failure</w:t>
            </w:r>
          </w:p>
        </w:tc>
      </w:tr>
      <w:tr w:rsidR="000F2988" w:rsidRPr="003B45B1" w14:paraId="34F57382" w14:textId="77777777" w:rsidTr="008D48CF">
        <w:trPr>
          <w:trHeight w:val="620"/>
        </w:trPr>
        <w:tc>
          <w:tcPr>
            <w:tcW w:w="2972" w:type="dxa"/>
            <w:tcBorders>
              <w:top w:val="nil"/>
              <w:left w:val="single" w:sz="4" w:space="0" w:color="auto"/>
              <w:bottom w:val="nil"/>
              <w:right w:val="nil"/>
            </w:tcBorders>
            <w:shd w:val="clear" w:color="000000" w:fill="FFFFFF"/>
            <w:vAlign w:val="center"/>
            <w:hideMark/>
          </w:tcPr>
          <w:p w14:paraId="0EA3888E"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 Hardware failure</w:t>
            </w:r>
          </w:p>
        </w:tc>
        <w:tc>
          <w:tcPr>
            <w:tcW w:w="3119" w:type="dxa"/>
            <w:tcBorders>
              <w:top w:val="nil"/>
              <w:left w:val="single" w:sz="4" w:space="0" w:color="auto"/>
              <w:bottom w:val="nil"/>
              <w:right w:val="single" w:sz="4" w:space="0" w:color="auto"/>
            </w:tcBorders>
            <w:shd w:val="clear" w:color="000000" w:fill="FFFFFF"/>
            <w:vAlign w:val="center"/>
            <w:hideMark/>
          </w:tcPr>
          <w:p w14:paraId="32BA7425"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2. Software failure</w:t>
            </w:r>
          </w:p>
        </w:tc>
        <w:tc>
          <w:tcPr>
            <w:tcW w:w="2976" w:type="dxa"/>
            <w:tcBorders>
              <w:top w:val="nil"/>
              <w:left w:val="nil"/>
              <w:bottom w:val="nil"/>
              <w:right w:val="nil"/>
            </w:tcBorders>
            <w:shd w:val="clear" w:color="000000" w:fill="FFFFFF"/>
            <w:vAlign w:val="center"/>
            <w:hideMark/>
          </w:tcPr>
          <w:p w14:paraId="36069100"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3. Internal Network Failure</w:t>
            </w:r>
          </w:p>
        </w:tc>
      </w:tr>
      <w:tr w:rsidR="000F2988" w:rsidRPr="003B45B1" w14:paraId="664ED806" w14:textId="77777777" w:rsidTr="008D48CF">
        <w:trPr>
          <w:trHeight w:val="930"/>
        </w:trPr>
        <w:tc>
          <w:tcPr>
            <w:tcW w:w="2972" w:type="dxa"/>
            <w:tcBorders>
              <w:top w:val="single" w:sz="4" w:space="0" w:color="auto"/>
              <w:left w:val="single" w:sz="4" w:space="0" w:color="auto"/>
              <w:bottom w:val="nil"/>
              <w:right w:val="single" w:sz="4" w:space="0" w:color="auto"/>
            </w:tcBorders>
            <w:shd w:val="clear" w:color="000000" w:fill="FFFFFF"/>
            <w:vAlign w:val="center"/>
            <w:hideMark/>
          </w:tcPr>
          <w:p w14:paraId="475D1925"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4. Failure of Communication lines of Ministry</w:t>
            </w:r>
          </w:p>
        </w:tc>
        <w:tc>
          <w:tcPr>
            <w:tcW w:w="3119" w:type="dxa"/>
            <w:tcBorders>
              <w:top w:val="single" w:sz="4" w:space="0" w:color="auto"/>
              <w:left w:val="nil"/>
              <w:bottom w:val="nil"/>
              <w:right w:val="single" w:sz="4" w:space="0" w:color="auto"/>
            </w:tcBorders>
            <w:shd w:val="clear" w:color="000000" w:fill="FFFFFF"/>
            <w:vAlign w:val="center"/>
            <w:hideMark/>
          </w:tcPr>
          <w:p w14:paraId="599A6EE4"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5. Data Corruption and Data Security</w:t>
            </w:r>
          </w:p>
        </w:tc>
        <w:tc>
          <w:tcPr>
            <w:tcW w:w="2976" w:type="dxa"/>
            <w:tcBorders>
              <w:top w:val="single" w:sz="4" w:space="0" w:color="auto"/>
              <w:left w:val="nil"/>
              <w:bottom w:val="nil"/>
              <w:right w:val="single" w:sz="4" w:space="0" w:color="auto"/>
            </w:tcBorders>
            <w:shd w:val="clear" w:color="000000" w:fill="FFFFFF"/>
            <w:vAlign w:val="center"/>
            <w:hideMark/>
          </w:tcPr>
          <w:p w14:paraId="149D017D"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6. Building and materials deficiencies</w:t>
            </w:r>
          </w:p>
        </w:tc>
      </w:tr>
      <w:tr w:rsidR="000F2988" w:rsidRPr="003B45B1" w14:paraId="425C41AC" w14:textId="77777777" w:rsidTr="008D48CF">
        <w:trPr>
          <w:trHeight w:val="310"/>
        </w:trPr>
        <w:tc>
          <w:tcPr>
            <w:tcW w:w="2972" w:type="dxa"/>
            <w:tcBorders>
              <w:top w:val="single" w:sz="4" w:space="0" w:color="auto"/>
              <w:left w:val="single" w:sz="4" w:space="0" w:color="auto"/>
              <w:bottom w:val="nil"/>
              <w:right w:val="single" w:sz="4" w:space="0" w:color="auto"/>
            </w:tcBorders>
            <w:shd w:val="clear" w:color="000000" w:fill="FFFFFF"/>
            <w:vAlign w:val="center"/>
            <w:hideMark/>
          </w:tcPr>
          <w:p w14:paraId="79C2402F"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7. Power Failure</w:t>
            </w:r>
          </w:p>
        </w:tc>
        <w:tc>
          <w:tcPr>
            <w:tcW w:w="3119" w:type="dxa"/>
            <w:tcBorders>
              <w:top w:val="single" w:sz="4" w:space="0" w:color="auto"/>
              <w:left w:val="nil"/>
              <w:bottom w:val="nil"/>
              <w:right w:val="single" w:sz="4" w:space="0" w:color="auto"/>
            </w:tcBorders>
            <w:shd w:val="clear" w:color="000000" w:fill="FFFFFF"/>
            <w:vAlign w:val="center"/>
            <w:hideMark/>
          </w:tcPr>
          <w:p w14:paraId="2C253B65"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8. Poor maintenance</w:t>
            </w:r>
          </w:p>
        </w:tc>
        <w:tc>
          <w:tcPr>
            <w:tcW w:w="2976" w:type="dxa"/>
            <w:tcBorders>
              <w:top w:val="single" w:sz="4" w:space="0" w:color="auto"/>
              <w:left w:val="nil"/>
              <w:bottom w:val="nil"/>
              <w:right w:val="single" w:sz="4" w:space="0" w:color="auto"/>
            </w:tcBorders>
            <w:shd w:val="clear" w:color="000000" w:fill="FFFFFF"/>
            <w:vAlign w:val="center"/>
            <w:hideMark/>
          </w:tcPr>
          <w:p w14:paraId="2B644FF5"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 </w:t>
            </w:r>
          </w:p>
        </w:tc>
      </w:tr>
      <w:tr w:rsidR="000F2988" w:rsidRPr="00417ED4" w14:paraId="668A4AA3" w14:textId="77777777" w:rsidTr="008D48CF">
        <w:trPr>
          <w:trHeight w:val="310"/>
        </w:trPr>
        <w:tc>
          <w:tcPr>
            <w:tcW w:w="9067" w:type="dxa"/>
            <w:gridSpan w:val="3"/>
            <w:tcBorders>
              <w:top w:val="single" w:sz="4" w:space="0" w:color="auto"/>
              <w:left w:val="single" w:sz="4" w:space="0" w:color="auto"/>
              <w:bottom w:val="single" w:sz="4" w:space="0" w:color="auto"/>
              <w:right w:val="single" w:sz="4" w:space="0" w:color="000000"/>
            </w:tcBorders>
            <w:shd w:val="clear" w:color="auto" w:fill="D6E3BC"/>
            <w:vAlign w:val="center"/>
            <w:hideMark/>
          </w:tcPr>
          <w:p w14:paraId="68502AE4" w14:textId="77777777" w:rsidR="000F2988" w:rsidRPr="003B45B1" w:rsidRDefault="000F2988" w:rsidP="008D48CF">
            <w:pPr>
              <w:jc w:val="center"/>
              <w:rPr>
                <w:rFonts w:ascii="Garamond" w:eastAsia="Times New Roman" w:hAnsi="Garamond" w:cs="Calibri"/>
                <w:color w:val="000000" w:themeColor="text1"/>
                <w:sz w:val="24"/>
                <w:szCs w:val="24"/>
                <w:lang w:eastAsia="fr-CH"/>
              </w:rPr>
            </w:pPr>
            <w:r w:rsidRPr="003B45B1">
              <w:rPr>
                <w:rFonts w:ascii="Garamond" w:eastAsia="Times New Roman" w:hAnsi="Garamond" w:cs="Calibri"/>
                <w:color w:val="000000" w:themeColor="text1"/>
                <w:sz w:val="24"/>
                <w:szCs w:val="24"/>
                <w:lang w:eastAsia="fr-CH"/>
              </w:rPr>
              <w:t>Incidents where access to premises is denied</w:t>
            </w:r>
          </w:p>
        </w:tc>
      </w:tr>
      <w:tr w:rsidR="000F2988" w:rsidRPr="003B45B1" w14:paraId="0BD363DD" w14:textId="77777777" w:rsidTr="008D48CF">
        <w:trPr>
          <w:trHeight w:val="620"/>
        </w:trPr>
        <w:tc>
          <w:tcPr>
            <w:tcW w:w="2972" w:type="dxa"/>
            <w:tcBorders>
              <w:top w:val="nil"/>
              <w:left w:val="single" w:sz="4" w:space="0" w:color="auto"/>
              <w:bottom w:val="nil"/>
              <w:right w:val="single" w:sz="4" w:space="0" w:color="auto"/>
            </w:tcBorders>
            <w:shd w:val="clear" w:color="000000" w:fill="FFFFFF"/>
            <w:vAlign w:val="center"/>
            <w:hideMark/>
          </w:tcPr>
          <w:p w14:paraId="625E38F0"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9. Building Fire or Flooding</w:t>
            </w:r>
          </w:p>
        </w:tc>
        <w:tc>
          <w:tcPr>
            <w:tcW w:w="3119" w:type="dxa"/>
            <w:tcBorders>
              <w:top w:val="nil"/>
              <w:left w:val="nil"/>
              <w:bottom w:val="nil"/>
              <w:right w:val="single" w:sz="4" w:space="0" w:color="auto"/>
            </w:tcBorders>
            <w:shd w:val="clear" w:color="000000" w:fill="FFFFFF"/>
            <w:vAlign w:val="center"/>
            <w:hideMark/>
          </w:tcPr>
          <w:p w14:paraId="53BB3457"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10. Gas Explosion</w:t>
            </w:r>
          </w:p>
        </w:tc>
        <w:tc>
          <w:tcPr>
            <w:tcW w:w="2976" w:type="dxa"/>
            <w:tcBorders>
              <w:top w:val="nil"/>
              <w:left w:val="nil"/>
              <w:bottom w:val="nil"/>
              <w:right w:val="single" w:sz="4" w:space="0" w:color="auto"/>
            </w:tcBorders>
            <w:shd w:val="clear" w:color="000000" w:fill="FFFFFF"/>
            <w:vAlign w:val="center"/>
            <w:hideMark/>
          </w:tcPr>
          <w:p w14:paraId="4FD3CFB0"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11. Civil Disturbances</w:t>
            </w:r>
          </w:p>
        </w:tc>
      </w:tr>
      <w:tr w:rsidR="000F2988" w:rsidRPr="003B45B1" w14:paraId="68501153" w14:textId="77777777" w:rsidTr="008D48CF">
        <w:trPr>
          <w:trHeight w:val="580"/>
        </w:trPr>
        <w:tc>
          <w:tcPr>
            <w:tcW w:w="2972" w:type="dxa"/>
            <w:tcBorders>
              <w:top w:val="single" w:sz="4" w:space="0" w:color="auto"/>
              <w:left w:val="single" w:sz="4" w:space="0" w:color="auto"/>
              <w:bottom w:val="nil"/>
              <w:right w:val="single" w:sz="4" w:space="0" w:color="auto"/>
            </w:tcBorders>
            <w:shd w:val="clear" w:color="000000" w:fill="FFFFFF"/>
            <w:vAlign w:val="center"/>
            <w:hideMark/>
          </w:tcPr>
          <w:p w14:paraId="47AACF5B"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12. Chemical Incident</w:t>
            </w:r>
          </w:p>
        </w:tc>
        <w:tc>
          <w:tcPr>
            <w:tcW w:w="3119" w:type="dxa"/>
            <w:tcBorders>
              <w:top w:val="single" w:sz="4" w:space="0" w:color="auto"/>
              <w:left w:val="nil"/>
              <w:bottom w:val="nil"/>
              <w:right w:val="single" w:sz="4" w:space="0" w:color="auto"/>
            </w:tcBorders>
            <w:shd w:val="clear" w:color="000000" w:fill="FFFFFF"/>
            <w:vAlign w:val="center"/>
            <w:hideMark/>
          </w:tcPr>
          <w:p w14:paraId="7EE1A721"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13. Sabotage</w:t>
            </w:r>
          </w:p>
        </w:tc>
        <w:tc>
          <w:tcPr>
            <w:tcW w:w="2976" w:type="dxa"/>
            <w:tcBorders>
              <w:top w:val="single" w:sz="4" w:space="0" w:color="auto"/>
              <w:left w:val="nil"/>
              <w:bottom w:val="nil"/>
              <w:right w:val="single" w:sz="4" w:space="0" w:color="auto"/>
            </w:tcBorders>
            <w:shd w:val="clear" w:color="000000" w:fill="FFFFFF"/>
            <w:vAlign w:val="center"/>
            <w:hideMark/>
          </w:tcPr>
          <w:p w14:paraId="31D58B5C"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 </w:t>
            </w:r>
          </w:p>
        </w:tc>
      </w:tr>
      <w:tr w:rsidR="000F2988" w:rsidRPr="00417ED4" w14:paraId="6ADE6F30" w14:textId="77777777" w:rsidTr="008D48CF">
        <w:trPr>
          <w:trHeight w:val="450"/>
        </w:trPr>
        <w:tc>
          <w:tcPr>
            <w:tcW w:w="9067" w:type="dxa"/>
            <w:gridSpan w:val="3"/>
            <w:tcBorders>
              <w:top w:val="single" w:sz="4" w:space="0" w:color="auto"/>
              <w:left w:val="single" w:sz="4" w:space="0" w:color="auto"/>
              <w:bottom w:val="single" w:sz="4" w:space="0" w:color="auto"/>
              <w:right w:val="single" w:sz="4" w:space="0" w:color="000000"/>
            </w:tcBorders>
            <w:shd w:val="clear" w:color="auto" w:fill="D6E3BC"/>
            <w:vAlign w:val="center"/>
            <w:hideMark/>
          </w:tcPr>
          <w:p w14:paraId="62B5933D" w14:textId="77777777" w:rsidR="000F2988" w:rsidRPr="003B45B1" w:rsidRDefault="000F2988" w:rsidP="008D48CF">
            <w:pPr>
              <w:jc w:val="center"/>
              <w:rPr>
                <w:rFonts w:ascii="Garamond" w:eastAsia="Times New Roman" w:hAnsi="Garamond" w:cs="Calibri"/>
                <w:color w:val="FFFFFF"/>
                <w:sz w:val="24"/>
                <w:szCs w:val="24"/>
                <w:lang w:eastAsia="fr-CH"/>
              </w:rPr>
            </w:pPr>
            <w:r w:rsidRPr="003B45B1">
              <w:rPr>
                <w:rFonts w:ascii="Garamond" w:eastAsia="Times New Roman" w:hAnsi="Garamond" w:cs="Calibri"/>
                <w:color w:val="000000" w:themeColor="text1"/>
                <w:sz w:val="24"/>
                <w:szCs w:val="24"/>
                <w:lang w:eastAsia="fr-CH"/>
              </w:rPr>
              <w:t>Personal, Management and Other Human Failure</w:t>
            </w:r>
          </w:p>
        </w:tc>
      </w:tr>
      <w:tr w:rsidR="000F2988" w:rsidRPr="00417ED4" w14:paraId="5C89E188" w14:textId="77777777" w:rsidTr="008D48CF">
        <w:trPr>
          <w:trHeight w:val="620"/>
        </w:trPr>
        <w:tc>
          <w:tcPr>
            <w:tcW w:w="2972" w:type="dxa"/>
            <w:tcBorders>
              <w:top w:val="nil"/>
              <w:left w:val="single" w:sz="4" w:space="0" w:color="auto"/>
              <w:bottom w:val="nil"/>
              <w:right w:val="nil"/>
            </w:tcBorders>
            <w:shd w:val="clear" w:color="000000" w:fill="FFFFFF"/>
            <w:vAlign w:val="center"/>
            <w:hideMark/>
          </w:tcPr>
          <w:p w14:paraId="725C7115"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14. Key staff risk</w:t>
            </w:r>
          </w:p>
        </w:tc>
        <w:tc>
          <w:tcPr>
            <w:tcW w:w="3119" w:type="dxa"/>
            <w:tcBorders>
              <w:top w:val="nil"/>
              <w:left w:val="single" w:sz="4" w:space="0" w:color="auto"/>
              <w:bottom w:val="nil"/>
              <w:right w:val="single" w:sz="4" w:space="0" w:color="auto"/>
            </w:tcBorders>
            <w:shd w:val="clear" w:color="000000" w:fill="FFFFFF"/>
            <w:vAlign w:val="center"/>
            <w:hideMark/>
          </w:tcPr>
          <w:p w14:paraId="5F6B1B27"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15. Human Error</w:t>
            </w:r>
          </w:p>
        </w:tc>
        <w:tc>
          <w:tcPr>
            <w:tcW w:w="2976" w:type="dxa"/>
            <w:tcBorders>
              <w:top w:val="nil"/>
              <w:left w:val="nil"/>
              <w:bottom w:val="nil"/>
              <w:right w:val="nil"/>
            </w:tcBorders>
            <w:shd w:val="clear" w:color="000000" w:fill="FFFFFF"/>
            <w:vAlign w:val="center"/>
            <w:hideMark/>
          </w:tcPr>
          <w:p w14:paraId="2AFD8FFF"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16. Poor training or inadequate supervision</w:t>
            </w:r>
          </w:p>
        </w:tc>
      </w:tr>
      <w:tr w:rsidR="000F2988" w:rsidRPr="00417ED4" w14:paraId="160A2126" w14:textId="77777777" w:rsidTr="008D48CF">
        <w:trPr>
          <w:trHeight w:val="930"/>
        </w:trPr>
        <w:tc>
          <w:tcPr>
            <w:tcW w:w="2972" w:type="dxa"/>
            <w:tcBorders>
              <w:top w:val="single" w:sz="4" w:space="0" w:color="auto"/>
              <w:left w:val="single" w:sz="4" w:space="0" w:color="auto"/>
              <w:bottom w:val="nil"/>
              <w:right w:val="single" w:sz="4" w:space="0" w:color="auto"/>
            </w:tcBorders>
            <w:shd w:val="clear" w:color="000000" w:fill="FFFFFF"/>
            <w:vAlign w:val="center"/>
            <w:hideMark/>
          </w:tcPr>
          <w:p w14:paraId="309E0B94"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17. Lack of policy guidance</w:t>
            </w:r>
          </w:p>
        </w:tc>
        <w:tc>
          <w:tcPr>
            <w:tcW w:w="3119" w:type="dxa"/>
            <w:tcBorders>
              <w:top w:val="single" w:sz="4" w:space="0" w:color="auto"/>
              <w:left w:val="nil"/>
              <w:bottom w:val="nil"/>
              <w:right w:val="nil"/>
            </w:tcBorders>
            <w:shd w:val="clear" w:color="000000" w:fill="FFFFFF"/>
            <w:vAlign w:val="center"/>
            <w:hideMark/>
          </w:tcPr>
          <w:p w14:paraId="3A2EF931"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18. Poorly specified delegations</w:t>
            </w: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14:paraId="371AB121"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19. Failure to follow or adhere to administrative practices</w:t>
            </w:r>
          </w:p>
        </w:tc>
      </w:tr>
      <w:tr w:rsidR="000F2988" w:rsidRPr="00417ED4" w14:paraId="72CD41BB" w14:textId="77777777" w:rsidTr="008D48CF">
        <w:trPr>
          <w:trHeight w:val="841"/>
        </w:trPr>
        <w:tc>
          <w:tcPr>
            <w:tcW w:w="2972" w:type="dxa"/>
            <w:tcBorders>
              <w:top w:val="single" w:sz="4" w:space="0" w:color="auto"/>
              <w:left w:val="single" w:sz="4" w:space="0" w:color="auto"/>
              <w:bottom w:val="nil"/>
              <w:right w:val="single" w:sz="4" w:space="0" w:color="auto"/>
            </w:tcBorders>
            <w:shd w:val="clear" w:color="000000" w:fill="FFFFFF"/>
            <w:vAlign w:val="center"/>
            <w:hideMark/>
          </w:tcPr>
          <w:p w14:paraId="1DA66056"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20. Fraud, Corruption or non-respect of code of conduct</w:t>
            </w:r>
          </w:p>
        </w:tc>
        <w:tc>
          <w:tcPr>
            <w:tcW w:w="3119" w:type="dxa"/>
            <w:tcBorders>
              <w:top w:val="single" w:sz="4" w:space="0" w:color="auto"/>
              <w:left w:val="nil"/>
              <w:bottom w:val="nil"/>
              <w:right w:val="single" w:sz="4" w:space="0" w:color="auto"/>
            </w:tcBorders>
            <w:shd w:val="clear" w:color="000000" w:fill="FFFFFF"/>
            <w:vAlign w:val="center"/>
            <w:hideMark/>
          </w:tcPr>
          <w:p w14:paraId="12CA7932"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 </w:t>
            </w:r>
          </w:p>
        </w:tc>
        <w:tc>
          <w:tcPr>
            <w:tcW w:w="2976" w:type="dxa"/>
            <w:tcBorders>
              <w:top w:val="single" w:sz="4" w:space="0" w:color="auto"/>
              <w:left w:val="nil"/>
              <w:bottom w:val="nil"/>
              <w:right w:val="single" w:sz="4" w:space="0" w:color="auto"/>
            </w:tcBorders>
            <w:shd w:val="clear" w:color="000000" w:fill="FFFFFF"/>
            <w:vAlign w:val="center"/>
            <w:hideMark/>
          </w:tcPr>
          <w:p w14:paraId="7C981E3F"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 </w:t>
            </w:r>
          </w:p>
        </w:tc>
      </w:tr>
      <w:tr w:rsidR="000F2988" w:rsidRPr="00417ED4" w14:paraId="3B24C5E9" w14:textId="77777777" w:rsidTr="008D48CF">
        <w:trPr>
          <w:trHeight w:val="310"/>
        </w:trPr>
        <w:tc>
          <w:tcPr>
            <w:tcW w:w="9067" w:type="dxa"/>
            <w:gridSpan w:val="3"/>
            <w:tcBorders>
              <w:top w:val="single" w:sz="4" w:space="0" w:color="auto"/>
              <w:left w:val="single" w:sz="4" w:space="0" w:color="auto"/>
              <w:bottom w:val="single" w:sz="4" w:space="0" w:color="auto"/>
              <w:right w:val="single" w:sz="4" w:space="0" w:color="000000"/>
            </w:tcBorders>
            <w:shd w:val="clear" w:color="auto" w:fill="D6E3BC"/>
            <w:vAlign w:val="center"/>
            <w:hideMark/>
          </w:tcPr>
          <w:p w14:paraId="475FA409" w14:textId="77777777" w:rsidR="000F2988" w:rsidRPr="003B45B1" w:rsidRDefault="000F2988" w:rsidP="008D48CF">
            <w:pPr>
              <w:jc w:val="center"/>
              <w:rPr>
                <w:rFonts w:ascii="Garamond" w:eastAsia="Times New Roman" w:hAnsi="Garamond" w:cs="Calibri"/>
                <w:color w:val="FFFFFF"/>
                <w:sz w:val="24"/>
                <w:szCs w:val="24"/>
                <w:lang w:eastAsia="fr-CH"/>
              </w:rPr>
            </w:pPr>
            <w:r w:rsidRPr="003B45B1">
              <w:rPr>
                <w:rFonts w:ascii="Garamond" w:eastAsia="Times New Roman" w:hAnsi="Garamond" w:cs="Calibri"/>
                <w:color w:val="000000" w:themeColor="text1"/>
                <w:sz w:val="24"/>
                <w:szCs w:val="24"/>
                <w:lang w:eastAsia="fr-CH"/>
              </w:rPr>
              <w:lastRenderedPageBreak/>
              <w:t>Key services providers or Groups Dependencies</w:t>
            </w:r>
          </w:p>
        </w:tc>
      </w:tr>
      <w:tr w:rsidR="000F2988" w:rsidRPr="00417ED4" w14:paraId="5CE9AAA7" w14:textId="77777777" w:rsidTr="008D48CF">
        <w:trPr>
          <w:trHeight w:val="1240"/>
        </w:trPr>
        <w:tc>
          <w:tcPr>
            <w:tcW w:w="2972" w:type="dxa"/>
            <w:tcBorders>
              <w:top w:val="nil"/>
              <w:left w:val="single" w:sz="4" w:space="0" w:color="auto"/>
              <w:bottom w:val="nil"/>
              <w:right w:val="single" w:sz="4" w:space="0" w:color="auto"/>
            </w:tcBorders>
            <w:shd w:val="clear" w:color="000000" w:fill="FFFFFF"/>
            <w:vAlign w:val="center"/>
            <w:hideMark/>
          </w:tcPr>
          <w:p w14:paraId="0CC950EB"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21. Failure of key service providers (telephone, internet, banking</w:t>
            </w:r>
            <w:r>
              <w:rPr>
                <w:rFonts w:ascii="Garamond" w:eastAsia="Times New Roman" w:hAnsi="Garamond" w:cs="Calibri"/>
                <w:color w:val="000000"/>
                <w:sz w:val="24"/>
                <w:szCs w:val="24"/>
                <w:lang w:eastAsia="fr-CH"/>
              </w:rPr>
              <w:t>,</w:t>
            </w:r>
            <w:r w:rsidRPr="003B45B1">
              <w:rPr>
                <w:rFonts w:ascii="Garamond" w:eastAsia="Times New Roman" w:hAnsi="Garamond" w:cs="Calibri"/>
                <w:color w:val="000000"/>
                <w:sz w:val="24"/>
                <w:szCs w:val="24"/>
                <w:lang w:eastAsia="fr-CH"/>
              </w:rPr>
              <w:t xml:space="preserve"> etc</w:t>
            </w:r>
            <w:r>
              <w:rPr>
                <w:rFonts w:ascii="Garamond" w:eastAsia="Times New Roman" w:hAnsi="Garamond" w:cs="Calibri"/>
                <w:color w:val="000000"/>
                <w:sz w:val="24"/>
                <w:szCs w:val="24"/>
                <w:lang w:eastAsia="fr-CH"/>
              </w:rPr>
              <w:t>.</w:t>
            </w:r>
            <w:r w:rsidRPr="003B45B1">
              <w:rPr>
                <w:rFonts w:ascii="Garamond" w:eastAsia="Times New Roman" w:hAnsi="Garamond" w:cs="Calibri"/>
                <w:color w:val="000000"/>
                <w:sz w:val="24"/>
                <w:szCs w:val="24"/>
                <w:lang w:eastAsia="fr-CH"/>
              </w:rPr>
              <w:t>)</w:t>
            </w:r>
          </w:p>
        </w:tc>
        <w:tc>
          <w:tcPr>
            <w:tcW w:w="3119" w:type="dxa"/>
            <w:tcBorders>
              <w:top w:val="nil"/>
              <w:left w:val="nil"/>
              <w:bottom w:val="nil"/>
              <w:right w:val="single" w:sz="4" w:space="0" w:color="auto"/>
            </w:tcBorders>
            <w:shd w:val="clear" w:color="000000" w:fill="FFFFFF"/>
            <w:vAlign w:val="center"/>
            <w:hideMark/>
          </w:tcPr>
          <w:p w14:paraId="2231EF9C"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22. Third party providers (Central Bank and other outsourced operations)</w:t>
            </w:r>
          </w:p>
        </w:tc>
        <w:tc>
          <w:tcPr>
            <w:tcW w:w="2976" w:type="dxa"/>
            <w:tcBorders>
              <w:top w:val="nil"/>
              <w:left w:val="nil"/>
              <w:bottom w:val="nil"/>
              <w:right w:val="single" w:sz="4" w:space="0" w:color="auto"/>
            </w:tcBorders>
            <w:shd w:val="clear" w:color="000000" w:fill="FFFFFF"/>
            <w:vAlign w:val="center"/>
            <w:hideMark/>
          </w:tcPr>
          <w:p w14:paraId="70C1FBE6"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23. Incident on critical groups (Pandemic, travel, food poisoning, etc.)</w:t>
            </w:r>
          </w:p>
        </w:tc>
      </w:tr>
      <w:tr w:rsidR="000F2988" w:rsidRPr="003B45B1" w14:paraId="64741761" w14:textId="77777777" w:rsidTr="008D48CF">
        <w:trPr>
          <w:trHeight w:val="310"/>
        </w:trPr>
        <w:tc>
          <w:tcPr>
            <w:tcW w:w="9067" w:type="dxa"/>
            <w:gridSpan w:val="3"/>
            <w:tcBorders>
              <w:top w:val="single" w:sz="4" w:space="0" w:color="auto"/>
              <w:left w:val="single" w:sz="4" w:space="0" w:color="auto"/>
              <w:bottom w:val="single" w:sz="4" w:space="0" w:color="auto"/>
              <w:right w:val="single" w:sz="4" w:space="0" w:color="000000"/>
            </w:tcBorders>
            <w:shd w:val="clear" w:color="auto" w:fill="D6E3BC"/>
            <w:vAlign w:val="center"/>
            <w:hideMark/>
          </w:tcPr>
          <w:p w14:paraId="0B44AB80" w14:textId="77777777" w:rsidR="000F2988" w:rsidRPr="003B45B1" w:rsidRDefault="000F2988" w:rsidP="008D48CF">
            <w:pPr>
              <w:jc w:val="center"/>
              <w:rPr>
                <w:rFonts w:ascii="Garamond" w:eastAsia="Times New Roman" w:hAnsi="Garamond" w:cs="Calibri"/>
                <w:color w:val="FFFFFF"/>
                <w:sz w:val="24"/>
                <w:szCs w:val="24"/>
                <w:lang w:eastAsia="fr-CH"/>
              </w:rPr>
            </w:pPr>
            <w:r w:rsidRPr="003B45B1">
              <w:rPr>
                <w:rFonts w:ascii="Garamond" w:eastAsia="Times New Roman" w:hAnsi="Garamond" w:cs="Calibri"/>
                <w:color w:val="000000" w:themeColor="text1"/>
                <w:sz w:val="24"/>
                <w:szCs w:val="24"/>
                <w:lang w:eastAsia="fr-CH"/>
              </w:rPr>
              <w:t>Natural Disasters</w:t>
            </w:r>
          </w:p>
        </w:tc>
      </w:tr>
      <w:tr w:rsidR="000F2988" w:rsidRPr="003B45B1" w14:paraId="19893C22" w14:textId="77777777" w:rsidTr="008D48CF">
        <w:trPr>
          <w:trHeight w:val="310"/>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4B1C1D3"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24. Earthquakes</w:t>
            </w:r>
          </w:p>
        </w:tc>
        <w:tc>
          <w:tcPr>
            <w:tcW w:w="3119" w:type="dxa"/>
            <w:tcBorders>
              <w:top w:val="nil"/>
              <w:left w:val="nil"/>
              <w:bottom w:val="single" w:sz="4" w:space="0" w:color="auto"/>
              <w:right w:val="single" w:sz="4" w:space="0" w:color="auto"/>
            </w:tcBorders>
            <w:shd w:val="clear" w:color="000000" w:fill="FFFFFF"/>
            <w:vAlign w:val="center"/>
            <w:hideMark/>
          </w:tcPr>
          <w:p w14:paraId="42659079"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25. Landslides</w:t>
            </w:r>
          </w:p>
        </w:tc>
        <w:tc>
          <w:tcPr>
            <w:tcW w:w="2976" w:type="dxa"/>
            <w:tcBorders>
              <w:top w:val="nil"/>
              <w:left w:val="nil"/>
              <w:bottom w:val="single" w:sz="4" w:space="0" w:color="auto"/>
              <w:right w:val="single" w:sz="4" w:space="0" w:color="auto"/>
            </w:tcBorders>
            <w:shd w:val="clear" w:color="000000" w:fill="FFFFFF"/>
            <w:vAlign w:val="center"/>
            <w:hideMark/>
          </w:tcPr>
          <w:p w14:paraId="4D643D1C" w14:textId="77777777" w:rsidR="000F2988" w:rsidRPr="003B45B1" w:rsidRDefault="000F2988" w:rsidP="008D48CF">
            <w:pPr>
              <w:jc w:val="center"/>
              <w:rPr>
                <w:rFonts w:ascii="Garamond" w:eastAsia="Times New Roman" w:hAnsi="Garamond" w:cs="Calibri"/>
                <w:color w:val="000000"/>
                <w:sz w:val="24"/>
                <w:szCs w:val="24"/>
                <w:lang w:eastAsia="fr-CH"/>
              </w:rPr>
            </w:pPr>
            <w:r w:rsidRPr="003B45B1">
              <w:rPr>
                <w:rFonts w:ascii="Garamond" w:eastAsia="Times New Roman" w:hAnsi="Garamond" w:cs="Calibri"/>
                <w:color w:val="000000"/>
                <w:sz w:val="24"/>
                <w:szCs w:val="24"/>
                <w:lang w:eastAsia="fr-CH"/>
              </w:rPr>
              <w:t>26. Severe Flooding</w:t>
            </w:r>
          </w:p>
        </w:tc>
      </w:tr>
    </w:tbl>
    <w:p w14:paraId="001B9A20" w14:textId="77777777" w:rsidR="001C157E" w:rsidRDefault="001C157E" w:rsidP="001900E3">
      <w:pPr>
        <w:rPr>
          <w:rFonts w:cs="Arial"/>
        </w:rPr>
      </w:pPr>
    </w:p>
    <w:p w14:paraId="168D87CE" w14:textId="0B4B2617" w:rsidR="004F69FE" w:rsidRPr="002C6B7B" w:rsidRDefault="004F69FE" w:rsidP="004F69FE">
      <w:r w:rsidRPr="002C6B7B">
        <w:t>PDMD will evaluate the impact on its critical business operations of each category of risk identified against the following criteria to determine the severity of the impact</w:t>
      </w:r>
      <w:r w:rsidR="00EA484B">
        <w:t xml:space="preserve"> (Table 2)</w:t>
      </w:r>
      <w:r w:rsidRPr="002C6B7B">
        <w:t>:</w:t>
      </w:r>
    </w:p>
    <w:p w14:paraId="4E9FB4B0" w14:textId="77777777" w:rsidR="004F69FE" w:rsidRPr="002C6B7B" w:rsidRDefault="004F69FE" w:rsidP="004F69FE">
      <w:pPr>
        <w:pStyle w:val="ListParagraph"/>
        <w:numPr>
          <w:ilvl w:val="0"/>
          <w:numId w:val="15"/>
        </w:numPr>
        <w:spacing w:after="160" w:line="259" w:lineRule="auto"/>
      </w:pPr>
      <w:r w:rsidRPr="002C6B7B">
        <w:t>Impact to the reputation of the PDMD or the MoF</w:t>
      </w:r>
    </w:p>
    <w:p w14:paraId="5FE3AF62" w14:textId="77777777" w:rsidR="004F69FE" w:rsidRPr="002C6B7B" w:rsidRDefault="004F69FE" w:rsidP="004F69FE">
      <w:pPr>
        <w:pStyle w:val="ListParagraph"/>
        <w:numPr>
          <w:ilvl w:val="0"/>
          <w:numId w:val="15"/>
        </w:numPr>
        <w:spacing w:after="160" w:line="259" w:lineRule="auto"/>
      </w:pPr>
      <w:r w:rsidRPr="002C6B7B">
        <w:t>Impact to resources needed to handle the problem and reporting</w:t>
      </w:r>
    </w:p>
    <w:p w14:paraId="3CCC2E93" w14:textId="77777777" w:rsidR="004F69FE" w:rsidRPr="002C6B7B" w:rsidRDefault="004F69FE" w:rsidP="004F69FE">
      <w:pPr>
        <w:pStyle w:val="ListParagraph"/>
        <w:numPr>
          <w:ilvl w:val="0"/>
          <w:numId w:val="15"/>
        </w:numPr>
        <w:spacing w:after="160" w:line="259" w:lineRule="auto"/>
      </w:pPr>
      <w:r w:rsidRPr="002C6B7B">
        <w:t>Impact to the business of the PDMD</w:t>
      </w:r>
    </w:p>
    <w:p w14:paraId="00238D6E" w14:textId="0C27956A" w:rsidR="004F69FE" w:rsidRPr="00B85918" w:rsidRDefault="004F69FE" w:rsidP="004F69FE">
      <w:pPr>
        <w:pStyle w:val="NoSpacing"/>
        <w:rPr>
          <w:b/>
          <w:i/>
          <w:sz w:val="24"/>
          <w:szCs w:val="24"/>
        </w:rPr>
      </w:pPr>
      <w:r>
        <w:rPr>
          <w:b/>
          <w:i/>
          <w:sz w:val="24"/>
          <w:szCs w:val="24"/>
        </w:rPr>
        <w:t xml:space="preserve">Table </w:t>
      </w:r>
      <w:r w:rsidR="00EA484B">
        <w:rPr>
          <w:b/>
          <w:i/>
          <w:sz w:val="24"/>
          <w:szCs w:val="24"/>
        </w:rPr>
        <w:t>2</w:t>
      </w:r>
      <w:r w:rsidRPr="000C1930">
        <w:rPr>
          <w:b/>
          <w:i/>
          <w:sz w:val="24"/>
          <w:szCs w:val="24"/>
        </w:rPr>
        <w:t xml:space="preserve">. </w:t>
      </w:r>
      <w:r>
        <w:rPr>
          <w:b/>
          <w:i/>
          <w:sz w:val="24"/>
          <w:szCs w:val="24"/>
        </w:rPr>
        <w:t>Criteria for the assessment of impact of risks</w:t>
      </w:r>
    </w:p>
    <w:tbl>
      <w:tblPr>
        <w:tblW w:w="9072" w:type="dxa"/>
        <w:tblInd w:w="-10" w:type="dxa"/>
        <w:tblLayout w:type="fixed"/>
        <w:tblCellMar>
          <w:left w:w="70" w:type="dxa"/>
          <w:right w:w="70" w:type="dxa"/>
        </w:tblCellMar>
        <w:tblLook w:val="04A0" w:firstRow="1" w:lastRow="0" w:firstColumn="1" w:lastColumn="0" w:noHBand="0" w:noVBand="1"/>
      </w:tblPr>
      <w:tblGrid>
        <w:gridCol w:w="993"/>
        <w:gridCol w:w="2693"/>
        <w:gridCol w:w="2551"/>
        <w:gridCol w:w="2835"/>
      </w:tblGrid>
      <w:tr w:rsidR="004F69FE" w:rsidRPr="005C470B" w14:paraId="53FFAFAA" w14:textId="77777777" w:rsidTr="008D48CF">
        <w:trPr>
          <w:trHeight w:val="490"/>
        </w:trPr>
        <w:tc>
          <w:tcPr>
            <w:tcW w:w="993" w:type="dxa"/>
            <w:tcBorders>
              <w:top w:val="single" w:sz="8" w:space="0" w:color="000000"/>
              <w:left w:val="single" w:sz="8" w:space="0" w:color="000000"/>
              <w:bottom w:val="nil"/>
              <w:right w:val="single" w:sz="8" w:space="0" w:color="000000"/>
            </w:tcBorders>
            <w:shd w:val="clear" w:color="auto" w:fill="D6E3BC"/>
            <w:vAlign w:val="center"/>
            <w:hideMark/>
          </w:tcPr>
          <w:p w14:paraId="6EF56822"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Assessment of</w:t>
            </w:r>
          </w:p>
        </w:tc>
        <w:tc>
          <w:tcPr>
            <w:tcW w:w="2693" w:type="dxa"/>
            <w:tcBorders>
              <w:top w:val="single" w:sz="8" w:space="0" w:color="000000"/>
              <w:left w:val="nil"/>
              <w:bottom w:val="nil"/>
              <w:right w:val="single" w:sz="8" w:space="0" w:color="000000"/>
            </w:tcBorders>
            <w:shd w:val="clear" w:color="auto" w:fill="D6E3BC"/>
            <w:vAlign w:val="center"/>
            <w:hideMark/>
          </w:tcPr>
          <w:p w14:paraId="57A8E2E1"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Reputational</w:t>
            </w:r>
          </w:p>
        </w:tc>
        <w:tc>
          <w:tcPr>
            <w:tcW w:w="2551" w:type="dxa"/>
            <w:tcBorders>
              <w:top w:val="single" w:sz="8" w:space="0" w:color="000000"/>
              <w:left w:val="nil"/>
              <w:bottom w:val="nil"/>
              <w:right w:val="single" w:sz="8" w:space="0" w:color="000000"/>
            </w:tcBorders>
            <w:shd w:val="clear" w:color="auto" w:fill="D6E3BC"/>
            <w:vAlign w:val="center"/>
            <w:hideMark/>
          </w:tcPr>
          <w:p w14:paraId="0514A3A4"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Financial Loss</w:t>
            </w:r>
          </w:p>
        </w:tc>
        <w:tc>
          <w:tcPr>
            <w:tcW w:w="2835" w:type="dxa"/>
            <w:tcBorders>
              <w:top w:val="single" w:sz="8" w:space="0" w:color="000000"/>
              <w:left w:val="nil"/>
              <w:bottom w:val="nil"/>
              <w:right w:val="single" w:sz="8" w:space="0" w:color="000000"/>
            </w:tcBorders>
            <w:shd w:val="clear" w:color="auto" w:fill="D6E3BC"/>
            <w:vAlign w:val="center"/>
            <w:hideMark/>
          </w:tcPr>
          <w:p w14:paraId="03D66C26"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Impact on Outputs</w:t>
            </w:r>
          </w:p>
        </w:tc>
      </w:tr>
      <w:tr w:rsidR="004F69FE" w:rsidRPr="005C470B" w14:paraId="0F1752C7" w14:textId="77777777" w:rsidTr="008D48CF">
        <w:trPr>
          <w:trHeight w:val="300"/>
        </w:trPr>
        <w:tc>
          <w:tcPr>
            <w:tcW w:w="993" w:type="dxa"/>
            <w:tcBorders>
              <w:top w:val="nil"/>
              <w:left w:val="single" w:sz="8" w:space="0" w:color="000000"/>
              <w:bottom w:val="single" w:sz="8" w:space="0" w:color="000000"/>
              <w:right w:val="single" w:sz="8" w:space="0" w:color="000000"/>
            </w:tcBorders>
            <w:shd w:val="clear" w:color="auto" w:fill="D6E3BC"/>
            <w:vAlign w:val="center"/>
            <w:hideMark/>
          </w:tcPr>
          <w:p w14:paraId="13030000"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Impact</w:t>
            </w:r>
          </w:p>
        </w:tc>
        <w:tc>
          <w:tcPr>
            <w:tcW w:w="2693" w:type="dxa"/>
            <w:tcBorders>
              <w:top w:val="nil"/>
              <w:left w:val="nil"/>
              <w:bottom w:val="single" w:sz="8" w:space="0" w:color="000000"/>
              <w:right w:val="single" w:sz="8" w:space="0" w:color="000000"/>
            </w:tcBorders>
            <w:shd w:val="clear" w:color="auto" w:fill="D6E3BC"/>
            <w:vAlign w:val="center"/>
            <w:hideMark/>
          </w:tcPr>
          <w:p w14:paraId="7523C169"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Impact</w:t>
            </w:r>
          </w:p>
        </w:tc>
        <w:tc>
          <w:tcPr>
            <w:tcW w:w="2551" w:type="dxa"/>
            <w:tcBorders>
              <w:top w:val="nil"/>
              <w:left w:val="nil"/>
              <w:bottom w:val="single" w:sz="8" w:space="0" w:color="000000"/>
              <w:right w:val="single" w:sz="8" w:space="0" w:color="000000"/>
            </w:tcBorders>
            <w:shd w:val="clear" w:color="auto" w:fill="D6E3BC"/>
            <w:vAlign w:val="center"/>
            <w:hideMark/>
          </w:tcPr>
          <w:p w14:paraId="77BFC8EF"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Impact</w:t>
            </w:r>
          </w:p>
        </w:tc>
        <w:tc>
          <w:tcPr>
            <w:tcW w:w="2835" w:type="dxa"/>
            <w:tcBorders>
              <w:top w:val="nil"/>
              <w:left w:val="nil"/>
              <w:bottom w:val="single" w:sz="8" w:space="0" w:color="000000"/>
              <w:right w:val="single" w:sz="8" w:space="0" w:color="000000"/>
            </w:tcBorders>
            <w:shd w:val="clear" w:color="auto" w:fill="D6E3BC"/>
            <w:vAlign w:val="center"/>
            <w:hideMark/>
          </w:tcPr>
          <w:p w14:paraId="138C7954"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or Budget Variance</w:t>
            </w:r>
          </w:p>
        </w:tc>
      </w:tr>
      <w:tr w:rsidR="004F69FE" w:rsidRPr="00417ED4" w14:paraId="603CCD74" w14:textId="77777777" w:rsidTr="008D48CF">
        <w:trPr>
          <w:trHeight w:val="580"/>
        </w:trPr>
        <w:tc>
          <w:tcPr>
            <w:tcW w:w="993" w:type="dxa"/>
            <w:vMerge w:val="restart"/>
            <w:tcBorders>
              <w:top w:val="nil"/>
              <w:left w:val="single" w:sz="8" w:space="0" w:color="000000"/>
              <w:bottom w:val="single" w:sz="8" w:space="0" w:color="000000"/>
              <w:right w:val="single" w:sz="8" w:space="0" w:color="000000"/>
            </w:tcBorders>
            <w:shd w:val="clear" w:color="auto" w:fill="D6E3BC"/>
            <w:vAlign w:val="center"/>
            <w:hideMark/>
          </w:tcPr>
          <w:p w14:paraId="0CCF45CF"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Very-High</w:t>
            </w:r>
          </w:p>
        </w:tc>
        <w:tc>
          <w:tcPr>
            <w:tcW w:w="2693" w:type="dxa"/>
            <w:tcBorders>
              <w:top w:val="nil"/>
              <w:left w:val="nil"/>
              <w:bottom w:val="nil"/>
              <w:right w:val="single" w:sz="8" w:space="0" w:color="000000"/>
            </w:tcBorders>
            <w:shd w:val="clear" w:color="auto" w:fill="auto"/>
            <w:vAlign w:val="center"/>
            <w:hideMark/>
          </w:tcPr>
          <w:p w14:paraId="06B5BB71"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Loss of stakeholder confidence</w:t>
            </w:r>
          </w:p>
        </w:tc>
        <w:tc>
          <w:tcPr>
            <w:tcW w:w="2551" w:type="dxa"/>
            <w:tcBorders>
              <w:top w:val="nil"/>
              <w:left w:val="nil"/>
              <w:bottom w:val="nil"/>
              <w:right w:val="single" w:sz="8" w:space="0" w:color="000000"/>
            </w:tcBorders>
            <w:shd w:val="clear" w:color="auto" w:fill="auto"/>
            <w:vAlign w:val="center"/>
            <w:hideMark/>
          </w:tcPr>
          <w:p w14:paraId="04E49C18"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Reported in government’s financial statements</w:t>
            </w:r>
          </w:p>
        </w:tc>
        <w:tc>
          <w:tcPr>
            <w:tcW w:w="2835" w:type="dxa"/>
            <w:tcBorders>
              <w:top w:val="nil"/>
              <w:left w:val="nil"/>
              <w:bottom w:val="nil"/>
              <w:right w:val="single" w:sz="8" w:space="0" w:color="000000"/>
            </w:tcBorders>
            <w:shd w:val="clear" w:color="000000" w:fill="FFFFFF"/>
            <w:vAlign w:val="center"/>
            <w:hideMark/>
          </w:tcPr>
          <w:p w14:paraId="5145077B"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Significant delay in achieving outputs</w:t>
            </w:r>
          </w:p>
        </w:tc>
      </w:tr>
      <w:tr w:rsidR="004F69FE" w:rsidRPr="005C470B" w14:paraId="03BB04A4" w14:textId="77777777" w:rsidTr="008D48CF">
        <w:trPr>
          <w:trHeight w:val="87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17A2B7D4"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nil"/>
              <w:right w:val="single" w:sz="8" w:space="0" w:color="000000"/>
            </w:tcBorders>
            <w:shd w:val="clear" w:color="000000" w:fill="FFFFFF"/>
            <w:vAlign w:val="center"/>
            <w:hideMark/>
          </w:tcPr>
          <w:p w14:paraId="58730DF1"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Loss of market confidence</w:t>
            </w:r>
          </w:p>
        </w:tc>
        <w:tc>
          <w:tcPr>
            <w:tcW w:w="2551" w:type="dxa"/>
            <w:tcBorders>
              <w:top w:val="nil"/>
              <w:left w:val="nil"/>
              <w:bottom w:val="nil"/>
              <w:right w:val="single" w:sz="8" w:space="0" w:color="000000"/>
            </w:tcBorders>
            <w:shd w:val="clear" w:color="000000" w:fill="FFFFFF"/>
            <w:vAlign w:val="center"/>
            <w:hideMark/>
          </w:tcPr>
          <w:p w14:paraId="50EAACCB"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Significant amount of time spent dealing with issue (i.e. greater than 30 person-days)</w:t>
            </w:r>
          </w:p>
        </w:tc>
        <w:tc>
          <w:tcPr>
            <w:tcW w:w="2835" w:type="dxa"/>
            <w:tcBorders>
              <w:top w:val="nil"/>
              <w:left w:val="nil"/>
              <w:bottom w:val="nil"/>
              <w:right w:val="single" w:sz="8" w:space="0" w:color="000000"/>
            </w:tcBorders>
            <w:shd w:val="clear" w:color="000000" w:fill="FFFFFF"/>
            <w:vAlign w:val="center"/>
            <w:hideMark/>
          </w:tcPr>
          <w:p w14:paraId="55F3C435"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Significant debt service budget variance</w:t>
            </w:r>
          </w:p>
        </w:tc>
      </w:tr>
      <w:tr w:rsidR="004F69FE" w:rsidRPr="005C470B" w14:paraId="0CB4D50B" w14:textId="77777777" w:rsidTr="008D48CF">
        <w:trPr>
          <w:trHeight w:val="58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38ADC3D2"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nil"/>
              <w:right w:val="single" w:sz="8" w:space="0" w:color="000000"/>
            </w:tcBorders>
            <w:shd w:val="clear" w:color="000000" w:fill="FFFFFF"/>
            <w:vAlign w:val="center"/>
            <w:hideMark/>
          </w:tcPr>
          <w:p w14:paraId="7D3E2AA0"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Loss of trust, e.g. from primary dealers</w:t>
            </w:r>
          </w:p>
        </w:tc>
        <w:tc>
          <w:tcPr>
            <w:tcW w:w="2551" w:type="dxa"/>
            <w:tcBorders>
              <w:top w:val="nil"/>
              <w:left w:val="nil"/>
              <w:bottom w:val="nil"/>
              <w:right w:val="single" w:sz="8" w:space="0" w:color="000000"/>
            </w:tcBorders>
            <w:shd w:val="clear" w:color="000000" w:fill="FFFFFF"/>
            <w:hideMark/>
          </w:tcPr>
          <w:p w14:paraId="54F62613"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 </w:t>
            </w:r>
          </w:p>
        </w:tc>
        <w:tc>
          <w:tcPr>
            <w:tcW w:w="2835" w:type="dxa"/>
            <w:tcBorders>
              <w:top w:val="nil"/>
              <w:left w:val="nil"/>
              <w:bottom w:val="nil"/>
              <w:right w:val="single" w:sz="8" w:space="0" w:color="000000"/>
            </w:tcBorders>
            <w:shd w:val="clear" w:color="000000" w:fill="FFFFFF"/>
            <w:vAlign w:val="center"/>
            <w:hideMark/>
          </w:tcPr>
          <w:p w14:paraId="021F7AC0"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(i.e. greater than 10%)</w:t>
            </w:r>
          </w:p>
        </w:tc>
      </w:tr>
      <w:tr w:rsidR="004F69FE" w:rsidRPr="005C470B" w14:paraId="7FA2AFB5" w14:textId="77777777" w:rsidTr="008D48CF">
        <w:trPr>
          <w:trHeight w:val="29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105DD0CE"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nil"/>
              <w:right w:val="single" w:sz="8" w:space="0" w:color="000000"/>
            </w:tcBorders>
            <w:shd w:val="clear" w:color="000000" w:fill="FFFFFF"/>
            <w:vAlign w:val="center"/>
            <w:hideMark/>
          </w:tcPr>
          <w:p w14:paraId="7A203615"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Extensive media coverage</w:t>
            </w:r>
          </w:p>
        </w:tc>
        <w:tc>
          <w:tcPr>
            <w:tcW w:w="2551" w:type="dxa"/>
            <w:tcBorders>
              <w:top w:val="nil"/>
              <w:left w:val="nil"/>
              <w:bottom w:val="nil"/>
              <w:right w:val="single" w:sz="8" w:space="0" w:color="000000"/>
            </w:tcBorders>
            <w:shd w:val="clear" w:color="000000" w:fill="FFFFFF"/>
            <w:hideMark/>
          </w:tcPr>
          <w:p w14:paraId="40C7AA9E"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 </w:t>
            </w:r>
          </w:p>
        </w:tc>
        <w:tc>
          <w:tcPr>
            <w:tcW w:w="2835" w:type="dxa"/>
            <w:tcBorders>
              <w:top w:val="nil"/>
              <w:left w:val="nil"/>
              <w:bottom w:val="nil"/>
              <w:right w:val="single" w:sz="8" w:space="0" w:color="000000"/>
            </w:tcBorders>
            <w:shd w:val="clear" w:color="000000" w:fill="FFFFFF"/>
            <w:hideMark/>
          </w:tcPr>
          <w:p w14:paraId="46E94FAE"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 </w:t>
            </w:r>
          </w:p>
        </w:tc>
      </w:tr>
      <w:tr w:rsidR="004F69FE" w:rsidRPr="00417ED4" w14:paraId="29129CB1" w14:textId="77777777" w:rsidTr="008D48CF">
        <w:trPr>
          <w:trHeight w:val="59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1F3BA95E"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single" w:sz="8" w:space="0" w:color="000000"/>
              <w:right w:val="single" w:sz="8" w:space="0" w:color="000000"/>
            </w:tcBorders>
            <w:shd w:val="clear" w:color="000000" w:fill="FFFFFF"/>
            <w:vAlign w:val="center"/>
            <w:hideMark/>
          </w:tcPr>
          <w:p w14:paraId="4EDD434E"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High-level ministerial enquiry [or resignation]</w:t>
            </w:r>
          </w:p>
        </w:tc>
        <w:tc>
          <w:tcPr>
            <w:tcW w:w="2551" w:type="dxa"/>
            <w:tcBorders>
              <w:top w:val="nil"/>
              <w:left w:val="nil"/>
              <w:bottom w:val="single" w:sz="8" w:space="0" w:color="000000"/>
              <w:right w:val="single" w:sz="8" w:space="0" w:color="000000"/>
            </w:tcBorders>
            <w:shd w:val="clear" w:color="000000" w:fill="FFFFFF"/>
            <w:hideMark/>
          </w:tcPr>
          <w:p w14:paraId="196BDE1B"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 </w:t>
            </w:r>
          </w:p>
        </w:tc>
        <w:tc>
          <w:tcPr>
            <w:tcW w:w="2835" w:type="dxa"/>
            <w:tcBorders>
              <w:top w:val="nil"/>
              <w:left w:val="nil"/>
              <w:bottom w:val="single" w:sz="8" w:space="0" w:color="000000"/>
              <w:right w:val="single" w:sz="8" w:space="0" w:color="000000"/>
            </w:tcBorders>
            <w:shd w:val="clear" w:color="000000" w:fill="FFFFFF"/>
            <w:hideMark/>
          </w:tcPr>
          <w:p w14:paraId="5A347252"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 </w:t>
            </w:r>
          </w:p>
        </w:tc>
      </w:tr>
      <w:tr w:rsidR="004F69FE" w:rsidRPr="00417ED4" w14:paraId="0043D741" w14:textId="77777777" w:rsidTr="008D48CF">
        <w:trPr>
          <w:trHeight w:val="580"/>
        </w:trPr>
        <w:tc>
          <w:tcPr>
            <w:tcW w:w="993" w:type="dxa"/>
            <w:vMerge w:val="restart"/>
            <w:tcBorders>
              <w:top w:val="nil"/>
              <w:left w:val="single" w:sz="8" w:space="0" w:color="000000"/>
              <w:bottom w:val="single" w:sz="8" w:space="0" w:color="000000"/>
              <w:right w:val="single" w:sz="8" w:space="0" w:color="000000"/>
            </w:tcBorders>
            <w:shd w:val="clear" w:color="auto" w:fill="D6E3BC"/>
            <w:vAlign w:val="center"/>
            <w:hideMark/>
          </w:tcPr>
          <w:p w14:paraId="4A11F12A"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High</w:t>
            </w:r>
          </w:p>
        </w:tc>
        <w:tc>
          <w:tcPr>
            <w:tcW w:w="2693" w:type="dxa"/>
            <w:tcBorders>
              <w:top w:val="nil"/>
              <w:left w:val="nil"/>
              <w:bottom w:val="nil"/>
              <w:right w:val="single" w:sz="8" w:space="0" w:color="000000"/>
            </w:tcBorders>
            <w:shd w:val="clear" w:color="000000" w:fill="FFFFFF"/>
            <w:vAlign w:val="center"/>
            <w:hideMark/>
          </w:tcPr>
          <w:p w14:paraId="2D5DC14F"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Strained stakeholder relationships</w:t>
            </w:r>
          </w:p>
        </w:tc>
        <w:tc>
          <w:tcPr>
            <w:tcW w:w="2551" w:type="dxa"/>
            <w:tcBorders>
              <w:top w:val="nil"/>
              <w:left w:val="nil"/>
              <w:bottom w:val="nil"/>
              <w:right w:val="single" w:sz="8" w:space="0" w:color="000000"/>
            </w:tcBorders>
            <w:shd w:val="clear" w:color="000000" w:fill="FFFFFF"/>
            <w:vAlign w:val="center"/>
            <w:hideMark/>
          </w:tcPr>
          <w:p w14:paraId="00CDC081"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Reported to minister</w:t>
            </w:r>
          </w:p>
        </w:tc>
        <w:tc>
          <w:tcPr>
            <w:tcW w:w="2835" w:type="dxa"/>
            <w:tcBorders>
              <w:top w:val="nil"/>
              <w:left w:val="nil"/>
              <w:bottom w:val="nil"/>
              <w:right w:val="single" w:sz="8" w:space="0" w:color="000000"/>
            </w:tcBorders>
            <w:shd w:val="clear" w:color="000000" w:fill="FFFFFF"/>
            <w:vAlign w:val="center"/>
            <w:hideMark/>
          </w:tcPr>
          <w:p w14:paraId="705ECF4E"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Large delay in achieving outputs</w:t>
            </w:r>
          </w:p>
        </w:tc>
      </w:tr>
      <w:tr w:rsidR="004F69FE" w:rsidRPr="00417ED4" w14:paraId="7FCCC82D" w14:textId="77777777" w:rsidTr="008D48CF">
        <w:trPr>
          <w:trHeight w:val="58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45A597A1"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nil"/>
              <w:right w:val="single" w:sz="8" w:space="0" w:color="000000"/>
            </w:tcBorders>
            <w:shd w:val="clear" w:color="000000" w:fill="FFFFFF"/>
            <w:vAlign w:val="center"/>
            <w:hideMark/>
          </w:tcPr>
          <w:p w14:paraId="7CB6CC1C"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Temporary loss of market confidence</w:t>
            </w:r>
          </w:p>
        </w:tc>
        <w:tc>
          <w:tcPr>
            <w:tcW w:w="2551" w:type="dxa"/>
            <w:tcBorders>
              <w:top w:val="nil"/>
              <w:left w:val="nil"/>
              <w:bottom w:val="nil"/>
              <w:right w:val="single" w:sz="8" w:space="0" w:color="000000"/>
            </w:tcBorders>
            <w:shd w:val="clear" w:color="000000" w:fill="FFFFFF"/>
            <w:vAlign w:val="center"/>
            <w:hideMark/>
          </w:tcPr>
          <w:p w14:paraId="0BC1477C"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Large amount of time spent dealing with issue</w:t>
            </w:r>
          </w:p>
        </w:tc>
        <w:tc>
          <w:tcPr>
            <w:tcW w:w="2835" w:type="dxa"/>
            <w:tcBorders>
              <w:top w:val="nil"/>
              <w:left w:val="nil"/>
              <w:bottom w:val="nil"/>
              <w:right w:val="single" w:sz="8" w:space="0" w:color="000000"/>
            </w:tcBorders>
            <w:shd w:val="clear" w:color="000000" w:fill="FFFFFF"/>
            <w:vAlign w:val="center"/>
            <w:hideMark/>
          </w:tcPr>
          <w:p w14:paraId="10E01686"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Large debt service budget variance</w:t>
            </w:r>
          </w:p>
        </w:tc>
      </w:tr>
      <w:tr w:rsidR="004F69FE" w:rsidRPr="005C470B" w14:paraId="7B00909A" w14:textId="77777777" w:rsidTr="008D48CF">
        <w:trPr>
          <w:trHeight w:val="29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6E285AB5"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nil"/>
              <w:right w:val="single" w:sz="8" w:space="0" w:color="000000"/>
            </w:tcBorders>
            <w:shd w:val="clear" w:color="000000" w:fill="FFFFFF"/>
            <w:vAlign w:val="center"/>
            <w:hideMark/>
          </w:tcPr>
          <w:p w14:paraId="1D2CD568"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Moderate media coverage</w:t>
            </w:r>
          </w:p>
        </w:tc>
        <w:tc>
          <w:tcPr>
            <w:tcW w:w="2551" w:type="dxa"/>
            <w:tcBorders>
              <w:top w:val="nil"/>
              <w:left w:val="nil"/>
              <w:bottom w:val="nil"/>
              <w:right w:val="single" w:sz="8" w:space="0" w:color="000000"/>
            </w:tcBorders>
            <w:shd w:val="clear" w:color="000000" w:fill="FFFFFF"/>
            <w:vAlign w:val="center"/>
            <w:hideMark/>
          </w:tcPr>
          <w:p w14:paraId="5C03AFCD"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(i.e. between 20 and 30 person-days)</w:t>
            </w:r>
          </w:p>
        </w:tc>
        <w:tc>
          <w:tcPr>
            <w:tcW w:w="2835" w:type="dxa"/>
            <w:tcBorders>
              <w:top w:val="nil"/>
              <w:left w:val="nil"/>
              <w:bottom w:val="nil"/>
              <w:right w:val="single" w:sz="8" w:space="0" w:color="000000"/>
            </w:tcBorders>
            <w:shd w:val="clear" w:color="000000" w:fill="FFFFFF"/>
            <w:vAlign w:val="center"/>
            <w:hideMark/>
          </w:tcPr>
          <w:p w14:paraId="147C2E15"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(i.e. between 5% and 10%)</w:t>
            </w:r>
          </w:p>
        </w:tc>
      </w:tr>
      <w:tr w:rsidR="004F69FE" w:rsidRPr="005C470B" w14:paraId="73E81F88" w14:textId="77777777" w:rsidTr="008D48CF">
        <w:trPr>
          <w:trHeight w:val="30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5FB84DE4"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single" w:sz="8" w:space="0" w:color="000000"/>
              <w:right w:val="single" w:sz="8" w:space="0" w:color="000000"/>
            </w:tcBorders>
            <w:shd w:val="clear" w:color="000000" w:fill="FFFFFF"/>
            <w:vAlign w:val="center"/>
            <w:hideMark/>
          </w:tcPr>
          <w:p w14:paraId="3C911E09"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Ministerial enquiry</w:t>
            </w:r>
          </w:p>
        </w:tc>
        <w:tc>
          <w:tcPr>
            <w:tcW w:w="2551" w:type="dxa"/>
            <w:tcBorders>
              <w:top w:val="nil"/>
              <w:left w:val="nil"/>
              <w:bottom w:val="single" w:sz="8" w:space="0" w:color="000000"/>
              <w:right w:val="single" w:sz="8" w:space="0" w:color="000000"/>
            </w:tcBorders>
            <w:shd w:val="clear" w:color="000000" w:fill="FFFFFF"/>
            <w:hideMark/>
          </w:tcPr>
          <w:p w14:paraId="263A22ED"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 </w:t>
            </w:r>
          </w:p>
        </w:tc>
        <w:tc>
          <w:tcPr>
            <w:tcW w:w="2835" w:type="dxa"/>
            <w:tcBorders>
              <w:top w:val="nil"/>
              <w:left w:val="nil"/>
              <w:bottom w:val="single" w:sz="8" w:space="0" w:color="000000"/>
              <w:right w:val="single" w:sz="8" w:space="0" w:color="000000"/>
            </w:tcBorders>
            <w:shd w:val="clear" w:color="000000" w:fill="FFFFFF"/>
            <w:hideMark/>
          </w:tcPr>
          <w:p w14:paraId="1F5AA7E8"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 </w:t>
            </w:r>
          </w:p>
        </w:tc>
      </w:tr>
      <w:tr w:rsidR="004F69FE" w:rsidRPr="00417ED4" w14:paraId="60CB6D92" w14:textId="77777777" w:rsidTr="008D48CF">
        <w:trPr>
          <w:trHeight w:val="580"/>
        </w:trPr>
        <w:tc>
          <w:tcPr>
            <w:tcW w:w="993" w:type="dxa"/>
            <w:vMerge w:val="restart"/>
            <w:tcBorders>
              <w:top w:val="nil"/>
              <w:left w:val="single" w:sz="8" w:space="0" w:color="000000"/>
              <w:bottom w:val="single" w:sz="8" w:space="0" w:color="000000"/>
              <w:right w:val="single" w:sz="8" w:space="0" w:color="000000"/>
            </w:tcBorders>
            <w:shd w:val="clear" w:color="auto" w:fill="D6E3BC"/>
            <w:vAlign w:val="center"/>
            <w:hideMark/>
          </w:tcPr>
          <w:p w14:paraId="2B0EA3B6"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Medium</w:t>
            </w:r>
          </w:p>
        </w:tc>
        <w:tc>
          <w:tcPr>
            <w:tcW w:w="2693" w:type="dxa"/>
            <w:tcBorders>
              <w:top w:val="nil"/>
              <w:left w:val="nil"/>
              <w:bottom w:val="nil"/>
              <w:right w:val="single" w:sz="8" w:space="0" w:color="000000"/>
            </w:tcBorders>
            <w:shd w:val="clear" w:color="000000" w:fill="FFFFFF"/>
            <w:vAlign w:val="center"/>
            <w:hideMark/>
          </w:tcPr>
          <w:p w14:paraId="6BAB47F8"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Increased stakeholder attention</w:t>
            </w:r>
          </w:p>
        </w:tc>
        <w:tc>
          <w:tcPr>
            <w:tcW w:w="2551" w:type="dxa"/>
            <w:tcBorders>
              <w:top w:val="nil"/>
              <w:left w:val="nil"/>
              <w:bottom w:val="nil"/>
              <w:right w:val="single" w:sz="8" w:space="0" w:color="000000"/>
            </w:tcBorders>
            <w:shd w:val="clear" w:color="000000" w:fill="FFFFFF"/>
            <w:vAlign w:val="center"/>
            <w:hideMark/>
          </w:tcPr>
          <w:p w14:paraId="24F4E08B"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Reported to the entity responsible for monitoring the DMU</w:t>
            </w:r>
          </w:p>
        </w:tc>
        <w:tc>
          <w:tcPr>
            <w:tcW w:w="2835" w:type="dxa"/>
            <w:tcBorders>
              <w:top w:val="nil"/>
              <w:left w:val="nil"/>
              <w:bottom w:val="nil"/>
              <w:right w:val="single" w:sz="8" w:space="0" w:color="000000"/>
            </w:tcBorders>
            <w:shd w:val="clear" w:color="000000" w:fill="FFFFFF"/>
            <w:vAlign w:val="center"/>
            <w:hideMark/>
          </w:tcPr>
          <w:p w14:paraId="6156FA41"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Moderate delay in achieving outputs</w:t>
            </w:r>
          </w:p>
        </w:tc>
      </w:tr>
      <w:tr w:rsidR="004F69FE" w:rsidRPr="00417ED4" w14:paraId="09EE2541" w14:textId="77777777" w:rsidTr="008D48CF">
        <w:trPr>
          <w:trHeight w:val="87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773771B2"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nil"/>
              <w:right w:val="single" w:sz="8" w:space="0" w:color="000000"/>
            </w:tcBorders>
            <w:shd w:val="clear" w:color="000000" w:fill="FFFFFF"/>
            <w:vAlign w:val="center"/>
            <w:hideMark/>
          </w:tcPr>
          <w:p w14:paraId="2511BCF1"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Market confidence not affected</w:t>
            </w:r>
          </w:p>
        </w:tc>
        <w:tc>
          <w:tcPr>
            <w:tcW w:w="2551" w:type="dxa"/>
            <w:tcBorders>
              <w:top w:val="nil"/>
              <w:left w:val="nil"/>
              <w:bottom w:val="nil"/>
              <w:right w:val="single" w:sz="8" w:space="0" w:color="000000"/>
            </w:tcBorders>
            <w:shd w:val="clear" w:color="000000" w:fill="FFFFFF"/>
            <w:vAlign w:val="center"/>
            <w:hideMark/>
          </w:tcPr>
          <w:p w14:paraId="348A2605"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Moderate amount of time spent dealing with issue (i.e. between 10 and 20 person-days)</w:t>
            </w:r>
          </w:p>
        </w:tc>
        <w:tc>
          <w:tcPr>
            <w:tcW w:w="2835" w:type="dxa"/>
            <w:tcBorders>
              <w:top w:val="nil"/>
              <w:left w:val="nil"/>
              <w:bottom w:val="nil"/>
              <w:right w:val="single" w:sz="8" w:space="0" w:color="000000"/>
            </w:tcBorders>
            <w:shd w:val="clear" w:color="000000" w:fill="FFFFFF"/>
            <w:vAlign w:val="center"/>
            <w:hideMark/>
          </w:tcPr>
          <w:p w14:paraId="32E157B2" w14:textId="77777777" w:rsidR="004F69FE" w:rsidRPr="00B85918" w:rsidRDefault="004F69FE" w:rsidP="008D48CF">
            <w:pPr>
              <w:rPr>
                <w:rFonts w:ascii="Garamond" w:eastAsia="Times New Roman" w:hAnsi="Garamond" w:cs="Calibri"/>
                <w:color w:val="000000"/>
                <w:lang w:eastAsia="fr-CH"/>
              </w:rPr>
            </w:pPr>
            <w:r w:rsidRPr="00B85918">
              <w:rPr>
                <w:rFonts w:ascii="Garamond" w:eastAsia="Times New Roman" w:hAnsi="Garamond" w:cs="Calibri"/>
                <w:color w:val="000000"/>
                <w:lang w:eastAsia="fr-CH"/>
              </w:rPr>
              <w:t>Moderate debt service budget variance</w:t>
            </w:r>
          </w:p>
        </w:tc>
      </w:tr>
      <w:tr w:rsidR="004F69FE" w:rsidRPr="005C470B" w14:paraId="1A18867F" w14:textId="77777777" w:rsidTr="008D48CF">
        <w:trPr>
          <w:trHeight w:val="29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1017DD12"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nil"/>
              <w:right w:val="single" w:sz="8" w:space="0" w:color="000000"/>
            </w:tcBorders>
            <w:shd w:val="clear" w:color="000000" w:fill="FFFFFF"/>
            <w:vAlign w:val="center"/>
            <w:hideMark/>
          </w:tcPr>
          <w:p w14:paraId="7E88C6B0"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Minor, if any, media attention</w:t>
            </w:r>
          </w:p>
        </w:tc>
        <w:tc>
          <w:tcPr>
            <w:tcW w:w="2551" w:type="dxa"/>
            <w:tcBorders>
              <w:top w:val="nil"/>
              <w:left w:val="nil"/>
              <w:bottom w:val="nil"/>
              <w:right w:val="single" w:sz="8" w:space="0" w:color="000000"/>
            </w:tcBorders>
            <w:shd w:val="clear" w:color="000000" w:fill="FFFFFF"/>
            <w:hideMark/>
          </w:tcPr>
          <w:p w14:paraId="603B5542"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 </w:t>
            </w:r>
          </w:p>
        </w:tc>
        <w:tc>
          <w:tcPr>
            <w:tcW w:w="2835" w:type="dxa"/>
            <w:tcBorders>
              <w:top w:val="nil"/>
              <w:left w:val="nil"/>
              <w:bottom w:val="nil"/>
              <w:right w:val="single" w:sz="8" w:space="0" w:color="000000"/>
            </w:tcBorders>
            <w:shd w:val="clear" w:color="000000" w:fill="FFFFFF"/>
            <w:vAlign w:val="center"/>
            <w:hideMark/>
          </w:tcPr>
          <w:p w14:paraId="5F42A09D"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(i.e. between 3% and 5%)</w:t>
            </w:r>
          </w:p>
        </w:tc>
      </w:tr>
      <w:tr w:rsidR="004F69FE" w:rsidRPr="00417ED4" w14:paraId="32E55E5D" w14:textId="77777777" w:rsidTr="008D48CF">
        <w:trPr>
          <w:trHeight w:val="59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39EC7959" w14:textId="77777777" w:rsidR="004F69FE" w:rsidRPr="00B85918" w:rsidRDefault="004F69FE" w:rsidP="008D48CF">
            <w:pPr>
              <w:rPr>
                <w:rFonts w:ascii="Garamond" w:eastAsia="Times New Roman" w:hAnsi="Garamond" w:cs="Calibri"/>
                <w:b/>
                <w:bCs/>
                <w:color w:val="000000" w:themeColor="text1"/>
                <w:lang w:eastAsia="fr-CH"/>
              </w:rPr>
            </w:pPr>
          </w:p>
        </w:tc>
        <w:tc>
          <w:tcPr>
            <w:tcW w:w="2693" w:type="dxa"/>
            <w:tcBorders>
              <w:top w:val="nil"/>
              <w:left w:val="nil"/>
              <w:bottom w:val="single" w:sz="8" w:space="0" w:color="000000"/>
              <w:right w:val="single" w:sz="8" w:space="0" w:color="000000"/>
            </w:tcBorders>
            <w:shd w:val="clear" w:color="000000" w:fill="FFFFFF"/>
            <w:vAlign w:val="center"/>
            <w:hideMark/>
          </w:tcPr>
          <w:p w14:paraId="3FF8228D"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Major attention within ministry/DMU</w:t>
            </w:r>
          </w:p>
        </w:tc>
        <w:tc>
          <w:tcPr>
            <w:tcW w:w="2551" w:type="dxa"/>
            <w:tcBorders>
              <w:top w:val="nil"/>
              <w:left w:val="nil"/>
              <w:bottom w:val="single" w:sz="8" w:space="0" w:color="000000"/>
              <w:right w:val="single" w:sz="8" w:space="0" w:color="000000"/>
            </w:tcBorders>
            <w:shd w:val="clear" w:color="000000" w:fill="FFFFFF"/>
            <w:hideMark/>
          </w:tcPr>
          <w:p w14:paraId="2D523F2F"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 </w:t>
            </w:r>
          </w:p>
        </w:tc>
        <w:tc>
          <w:tcPr>
            <w:tcW w:w="2835" w:type="dxa"/>
            <w:tcBorders>
              <w:top w:val="nil"/>
              <w:left w:val="nil"/>
              <w:bottom w:val="single" w:sz="8" w:space="0" w:color="000000"/>
              <w:right w:val="single" w:sz="8" w:space="0" w:color="000000"/>
            </w:tcBorders>
            <w:shd w:val="clear" w:color="000000" w:fill="FFFFFF"/>
            <w:hideMark/>
          </w:tcPr>
          <w:p w14:paraId="474EBE3F"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 </w:t>
            </w:r>
          </w:p>
        </w:tc>
      </w:tr>
      <w:tr w:rsidR="004F69FE" w:rsidRPr="00417ED4" w14:paraId="740FDA2B" w14:textId="77777777" w:rsidTr="008D48CF">
        <w:trPr>
          <w:trHeight w:val="580"/>
        </w:trPr>
        <w:tc>
          <w:tcPr>
            <w:tcW w:w="993" w:type="dxa"/>
            <w:vMerge w:val="restart"/>
            <w:tcBorders>
              <w:top w:val="nil"/>
              <w:left w:val="single" w:sz="8" w:space="0" w:color="000000"/>
              <w:bottom w:val="single" w:sz="8" w:space="0" w:color="000000"/>
              <w:right w:val="single" w:sz="8" w:space="0" w:color="000000"/>
            </w:tcBorders>
            <w:shd w:val="clear" w:color="auto" w:fill="D6E3BC"/>
            <w:vAlign w:val="center"/>
            <w:hideMark/>
          </w:tcPr>
          <w:p w14:paraId="2461E9B5" w14:textId="77777777" w:rsidR="004F69FE" w:rsidRPr="00B85918" w:rsidRDefault="004F69FE" w:rsidP="008D48CF">
            <w:pPr>
              <w:jc w:val="center"/>
              <w:rPr>
                <w:rFonts w:ascii="Garamond" w:eastAsia="Times New Roman" w:hAnsi="Garamond" w:cs="Calibri"/>
                <w:b/>
                <w:bCs/>
                <w:color w:val="000000" w:themeColor="text1"/>
                <w:lang w:eastAsia="fr-CH"/>
              </w:rPr>
            </w:pPr>
            <w:r w:rsidRPr="00B85918">
              <w:rPr>
                <w:rFonts w:ascii="Garamond" w:eastAsia="Times New Roman" w:hAnsi="Garamond" w:cs="Calibri"/>
                <w:b/>
                <w:bCs/>
                <w:color w:val="000000" w:themeColor="text1"/>
                <w:lang w:eastAsia="fr-CH"/>
              </w:rPr>
              <w:t>Low</w:t>
            </w:r>
          </w:p>
        </w:tc>
        <w:tc>
          <w:tcPr>
            <w:tcW w:w="2693" w:type="dxa"/>
            <w:tcBorders>
              <w:top w:val="nil"/>
              <w:left w:val="nil"/>
              <w:bottom w:val="nil"/>
              <w:right w:val="single" w:sz="8" w:space="0" w:color="000000"/>
            </w:tcBorders>
            <w:shd w:val="clear" w:color="000000" w:fill="FFFFFF"/>
            <w:vAlign w:val="center"/>
            <w:hideMark/>
          </w:tcPr>
          <w:p w14:paraId="5B4F8903"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Stakeholder and market relationships intact</w:t>
            </w:r>
          </w:p>
        </w:tc>
        <w:tc>
          <w:tcPr>
            <w:tcW w:w="2551" w:type="dxa"/>
            <w:tcBorders>
              <w:top w:val="nil"/>
              <w:left w:val="nil"/>
              <w:bottom w:val="nil"/>
              <w:right w:val="single" w:sz="8" w:space="0" w:color="000000"/>
            </w:tcBorders>
            <w:shd w:val="clear" w:color="000000" w:fill="FFFFFF"/>
            <w:vAlign w:val="center"/>
            <w:hideMark/>
          </w:tcPr>
          <w:p w14:paraId="15482424"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Included in internal monthly reports</w:t>
            </w:r>
          </w:p>
        </w:tc>
        <w:tc>
          <w:tcPr>
            <w:tcW w:w="2835" w:type="dxa"/>
            <w:tcBorders>
              <w:top w:val="nil"/>
              <w:left w:val="nil"/>
              <w:bottom w:val="nil"/>
              <w:right w:val="single" w:sz="8" w:space="0" w:color="000000"/>
            </w:tcBorders>
            <w:shd w:val="clear" w:color="000000" w:fill="FFFFFF"/>
            <w:vAlign w:val="center"/>
            <w:hideMark/>
          </w:tcPr>
          <w:p w14:paraId="0B9F29B6"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Little or no delay in achieving outputs</w:t>
            </w:r>
          </w:p>
        </w:tc>
      </w:tr>
      <w:tr w:rsidR="004F69FE" w:rsidRPr="00417ED4" w14:paraId="2E8F8C73" w14:textId="77777777" w:rsidTr="008D48CF">
        <w:trPr>
          <w:trHeight w:val="58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1F31A686" w14:textId="77777777" w:rsidR="004F69FE" w:rsidRPr="005C470B" w:rsidRDefault="004F69FE" w:rsidP="008D48CF">
            <w:pPr>
              <w:rPr>
                <w:rFonts w:ascii="Garamond" w:eastAsia="Times New Roman" w:hAnsi="Garamond" w:cs="Calibri"/>
                <w:b/>
                <w:bCs/>
                <w:color w:val="FFFFFF"/>
                <w:lang w:eastAsia="fr-CH"/>
              </w:rPr>
            </w:pPr>
          </w:p>
        </w:tc>
        <w:tc>
          <w:tcPr>
            <w:tcW w:w="2693" w:type="dxa"/>
            <w:tcBorders>
              <w:top w:val="nil"/>
              <w:left w:val="nil"/>
              <w:bottom w:val="nil"/>
              <w:right w:val="single" w:sz="8" w:space="0" w:color="000000"/>
            </w:tcBorders>
            <w:shd w:val="clear" w:color="000000" w:fill="FFFFFF"/>
            <w:vAlign w:val="center"/>
            <w:hideMark/>
          </w:tcPr>
          <w:p w14:paraId="4ECE22BE"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No media coverage</w:t>
            </w:r>
          </w:p>
        </w:tc>
        <w:tc>
          <w:tcPr>
            <w:tcW w:w="2551" w:type="dxa"/>
            <w:tcBorders>
              <w:top w:val="nil"/>
              <w:left w:val="nil"/>
              <w:bottom w:val="nil"/>
              <w:right w:val="single" w:sz="8" w:space="0" w:color="000000"/>
            </w:tcBorders>
            <w:shd w:val="clear" w:color="000000" w:fill="FFFFFF"/>
            <w:vAlign w:val="center"/>
            <w:hideMark/>
          </w:tcPr>
          <w:p w14:paraId="5517B87A"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Minimal amount of time spent dealing with issue</w:t>
            </w:r>
          </w:p>
        </w:tc>
        <w:tc>
          <w:tcPr>
            <w:tcW w:w="2835" w:type="dxa"/>
            <w:tcBorders>
              <w:top w:val="nil"/>
              <w:left w:val="nil"/>
              <w:bottom w:val="nil"/>
              <w:right w:val="single" w:sz="8" w:space="0" w:color="000000"/>
            </w:tcBorders>
            <w:shd w:val="clear" w:color="000000" w:fill="FFFFFF"/>
            <w:vAlign w:val="center"/>
            <w:hideMark/>
          </w:tcPr>
          <w:p w14:paraId="0A0CF7EA"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Little or no debt service budget variance</w:t>
            </w:r>
          </w:p>
        </w:tc>
      </w:tr>
      <w:tr w:rsidR="004F69FE" w:rsidRPr="005C470B" w14:paraId="6937419D" w14:textId="77777777" w:rsidTr="008D48CF">
        <w:trPr>
          <w:trHeight w:val="590"/>
        </w:trPr>
        <w:tc>
          <w:tcPr>
            <w:tcW w:w="993" w:type="dxa"/>
            <w:vMerge/>
            <w:tcBorders>
              <w:top w:val="nil"/>
              <w:left w:val="single" w:sz="8" w:space="0" w:color="000000"/>
              <w:bottom w:val="single" w:sz="8" w:space="0" w:color="000000"/>
              <w:right w:val="single" w:sz="8" w:space="0" w:color="000000"/>
            </w:tcBorders>
            <w:shd w:val="clear" w:color="auto" w:fill="D6E3BC"/>
            <w:vAlign w:val="center"/>
            <w:hideMark/>
          </w:tcPr>
          <w:p w14:paraId="540BD358" w14:textId="77777777" w:rsidR="004F69FE" w:rsidRPr="005C470B" w:rsidRDefault="004F69FE" w:rsidP="008D48CF">
            <w:pPr>
              <w:rPr>
                <w:rFonts w:ascii="Garamond" w:eastAsia="Times New Roman" w:hAnsi="Garamond" w:cs="Calibri"/>
                <w:b/>
                <w:bCs/>
                <w:color w:val="FFFFFF"/>
                <w:lang w:eastAsia="fr-CH"/>
              </w:rPr>
            </w:pPr>
          </w:p>
        </w:tc>
        <w:tc>
          <w:tcPr>
            <w:tcW w:w="2693" w:type="dxa"/>
            <w:tcBorders>
              <w:top w:val="nil"/>
              <w:left w:val="nil"/>
              <w:bottom w:val="single" w:sz="8" w:space="0" w:color="000000"/>
              <w:right w:val="single" w:sz="8" w:space="0" w:color="000000"/>
            </w:tcBorders>
            <w:shd w:val="clear" w:color="000000" w:fill="FFFFFF"/>
            <w:vAlign w:val="center"/>
            <w:hideMark/>
          </w:tcPr>
          <w:p w14:paraId="64B7C051"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Internal ministry/DMU enquiry</w:t>
            </w:r>
          </w:p>
        </w:tc>
        <w:tc>
          <w:tcPr>
            <w:tcW w:w="2551" w:type="dxa"/>
            <w:tcBorders>
              <w:top w:val="nil"/>
              <w:left w:val="nil"/>
              <w:bottom w:val="single" w:sz="8" w:space="0" w:color="000000"/>
              <w:right w:val="single" w:sz="8" w:space="0" w:color="000000"/>
            </w:tcBorders>
            <w:shd w:val="clear" w:color="000000" w:fill="FFFFFF"/>
            <w:vAlign w:val="center"/>
            <w:hideMark/>
          </w:tcPr>
          <w:p w14:paraId="7859CC19"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(i.e. less than 10 person-days)</w:t>
            </w:r>
          </w:p>
        </w:tc>
        <w:tc>
          <w:tcPr>
            <w:tcW w:w="2835" w:type="dxa"/>
            <w:tcBorders>
              <w:top w:val="nil"/>
              <w:left w:val="nil"/>
              <w:bottom w:val="single" w:sz="8" w:space="0" w:color="000000"/>
              <w:right w:val="single" w:sz="8" w:space="0" w:color="000000"/>
            </w:tcBorders>
            <w:shd w:val="clear" w:color="000000" w:fill="FFFFFF"/>
            <w:vAlign w:val="center"/>
            <w:hideMark/>
          </w:tcPr>
          <w:p w14:paraId="27F7D1C5" w14:textId="77777777" w:rsidR="004F69FE" w:rsidRPr="005C470B" w:rsidRDefault="004F69FE" w:rsidP="008D48CF">
            <w:pPr>
              <w:rPr>
                <w:rFonts w:ascii="Garamond" w:eastAsia="Times New Roman" w:hAnsi="Garamond" w:cs="Calibri"/>
                <w:color w:val="000000"/>
                <w:lang w:eastAsia="fr-CH"/>
              </w:rPr>
            </w:pPr>
            <w:r w:rsidRPr="005C470B">
              <w:rPr>
                <w:rFonts w:ascii="Garamond" w:eastAsia="Times New Roman" w:hAnsi="Garamond" w:cs="Calibri"/>
                <w:color w:val="000000"/>
                <w:lang w:eastAsia="fr-CH"/>
              </w:rPr>
              <w:t>(i.e. less than 3%)</w:t>
            </w:r>
          </w:p>
        </w:tc>
      </w:tr>
    </w:tbl>
    <w:p w14:paraId="07DD1614" w14:textId="77777777" w:rsidR="004F69FE" w:rsidRDefault="004F69FE" w:rsidP="004F69FE">
      <w:pPr>
        <w:rPr>
          <w:sz w:val="24"/>
          <w:szCs w:val="24"/>
        </w:rPr>
      </w:pPr>
    </w:p>
    <w:p w14:paraId="16BDDC70" w14:textId="08D92114" w:rsidR="004F69FE" w:rsidRPr="002C6B7B" w:rsidRDefault="004F69FE" w:rsidP="004F69FE">
      <w:pPr>
        <w:rPr>
          <w:rFonts w:cs="Arial"/>
        </w:rPr>
      </w:pPr>
      <w:r w:rsidRPr="002C6B7B">
        <w:rPr>
          <w:rFonts w:cs="Arial"/>
        </w:rPr>
        <w:t>For each critical process and systems, staff must associate to each category of risks identified a probability of occurrence of the risk and a severity level of impact if this risk were to materialize. By representing the probability of occurrence against the severity level, a risk matrix can be obtained in order to complete the Business Impact Analysis.</w:t>
      </w:r>
      <w:r w:rsidR="00EA484B">
        <w:rPr>
          <w:rFonts w:cs="Arial"/>
        </w:rPr>
        <w:t xml:space="preserve"> </w:t>
      </w:r>
      <w:r w:rsidRPr="002C6B7B">
        <w:rPr>
          <w:rFonts w:cs="Arial"/>
        </w:rPr>
        <w:t>The person responsible for the BCP maintenance will update annually the risk matrix, based on information provided by each unit.</w:t>
      </w:r>
    </w:p>
    <w:p w14:paraId="6C8A33E1" w14:textId="2898D80B" w:rsidR="004F69FE" w:rsidRPr="002C6B7B" w:rsidRDefault="004F69FE" w:rsidP="004F69FE">
      <w:pPr>
        <w:pStyle w:val="NoSpacing"/>
        <w:rPr>
          <w:rFonts w:ascii="Arial" w:hAnsi="Arial" w:cs="Arial"/>
        </w:rPr>
      </w:pPr>
      <w:r w:rsidRPr="002C6B7B">
        <w:rPr>
          <w:rFonts w:ascii="Arial" w:hAnsi="Arial" w:cs="Arial"/>
        </w:rPr>
        <w:t>Following the draft BCP plan developed through support from EU TA project, this mission reviewed the risk matrix in consultation with MO in PDMD</w:t>
      </w:r>
      <w:r w:rsidR="00EA484B">
        <w:rPr>
          <w:rFonts w:ascii="Arial" w:hAnsi="Arial" w:cs="Arial"/>
        </w:rPr>
        <w:t xml:space="preserve"> (Table 3)</w:t>
      </w:r>
      <w:r w:rsidRPr="002C6B7B">
        <w:rPr>
          <w:rFonts w:ascii="Arial" w:hAnsi="Arial" w:cs="Arial"/>
        </w:rPr>
        <w:t xml:space="preserve">. </w:t>
      </w:r>
    </w:p>
    <w:p w14:paraId="351830EB" w14:textId="77777777" w:rsidR="004F69FE" w:rsidRPr="002C6B7B" w:rsidRDefault="004F69FE" w:rsidP="004F69FE">
      <w:pPr>
        <w:pStyle w:val="NoSpacing"/>
        <w:rPr>
          <w:rFonts w:ascii="Arial" w:hAnsi="Arial" w:cs="Arial"/>
          <w:b/>
          <w:i/>
        </w:rPr>
      </w:pPr>
    </w:p>
    <w:p w14:paraId="0CBE6279" w14:textId="261A9B6D" w:rsidR="004F69FE" w:rsidRPr="002C6B7B" w:rsidRDefault="004F69FE" w:rsidP="004F69FE">
      <w:pPr>
        <w:pStyle w:val="NoSpacing"/>
        <w:rPr>
          <w:rFonts w:ascii="Arial" w:hAnsi="Arial" w:cs="Arial"/>
          <w:i/>
        </w:rPr>
      </w:pPr>
      <w:r w:rsidRPr="002C6B7B">
        <w:rPr>
          <w:rFonts w:ascii="Arial" w:hAnsi="Arial" w:cs="Arial"/>
          <w:i/>
        </w:rPr>
        <w:t xml:space="preserve">Table </w:t>
      </w:r>
      <w:r w:rsidR="00EA484B">
        <w:rPr>
          <w:rFonts w:ascii="Arial" w:hAnsi="Arial" w:cs="Arial"/>
          <w:i/>
        </w:rPr>
        <w:t>3</w:t>
      </w:r>
      <w:r w:rsidRPr="002C6B7B">
        <w:rPr>
          <w:rFonts w:ascii="Arial" w:hAnsi="Arial" w:cs="Arial"/>
          <w:i/>
        </w:rPr>
        <w:t>. Risk Matrix</w:t>
      </w:r>
    </w:p>
    <w:tbl>
      <w:tblPr>
        <w:tblW w:w="8486" w:type="dxa"/>
        <w:tblCellMar>
          <w:left w:w="70" w:type="dxa"/>
          <w:right w:w="70" w:type="dxa"/>
        </w:tblCellMar>
        <w:tblLook w:val="04A0" w:firstRow="1" w:lastRow="0" w:firstColumn="1" w:lastColumn="0" w:noHBand="0" w:noVBand="1"/>
      </w:tblPr>
      <w:tblGrid>
        <w:gridCol w:w="1960"/>
        <w:gridCol w:w="1291"/>
        <w:gridCol w:w="1544"/>
        <w:gridCol w:w="1726"/>
        <w:gridCol w:w="1965"/>
      </w:tblGrid>
      <w:tr w:rsidR="004F69FE" w:rsidRPr="008D6594" w14:paraId="2E0298D0" w14:textId="77777777" w:rsidTr="008D48CF">
        <w:trPr>
          <w:trHeight w:val="422"/>
        </w:trPr>
        <w:tc>
          <w:tcPr>
            <w:tcW w:w="1960" w:type="dxa"/>
            <w:tcBorders>
              <w:top w:val="nil"/>
              <w:left w:val="nil"/>
              <w:bottom w:val="nil"/>
              <w:right w:val="nil"/>
            </w:tcBorders>
            <w:shd w:val="clear" w:color="auto" w:fill="D6E3BC"/>
            <w:vAlign w:val="bottom"/>
            <w:hideMark/>
          </w:tcPr>
          <w:p w14:paraId="7ED46EC1" w14:textId="77777777" w:rsidR="004F69FE" w:rsidRPr="008D6594" w:rsidRDefault="004F69FE" w:rsidP="008D48CF">
            <w:pPr>
              <w:rPr>
                <w:rFonts w:ascii="Garamond" w:eastAsia="Times New Roman" w:hAnsi="Garamond" w:cs="Calibri"/>
                <w:b/>
                <w:bCs/>
                <w:color w:val="000000" w:themeColor="text1"/>
                <w:sz w:val="32"/>
                <w:szCs w:val="32"/>
                <w:lang w:eastAsia="fr-CH"/>
              </w:rPr>
            </w:pPr>
            <w:r w:rsidRPr="008D6594">
              <w:rPr>
                <w:rFonts w:ascii="Garamond" w:eastAsia="Times New Roman" w:hAnsi="Garamond" w:cs="Calibri"/>
                <w:b/>
                <w:bCs/>
                <w:color w:val="000000" w:themeColor="text1"/>
                <w:sz w:val="32"/>
                <w:szCs w:val="32"/>
                <w:lang w:eastAsia="fr-CH"/>
              </w:rPr>
              <w:t> </w:t>
            </w:r>
          </w:p>
        </w:tc>
        <w:tc>
          <w:tcPr>
            <w:tcW w:w="1291" w:type="dxa"/>
            <w:tcBorders>
              <w:top w:val="nil"/>
              <w:left w:val="nil"/>
              <w:bottom w:val="nil"/>
              <w:right w:val="nil"/>
            </w:tcBorders>
            <w:shd w:val="clear" w:color="auto" w:fill="D6E3BC"/>
            <w:vAlign w:val="bottom"/>
            <w:hideMark/>
          </w:tcPr>
          <w:p w14:paraId="36A9E829" w14:textId="77777777" w:rsidR="004F69FE" w:rsidRPr="008D6594" w:rsidRDefault="004F69FE" w:rsidP="008D48CF">
            <w:pPr>
              <w:jc w:val="cente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Low</w:t>
            </w:r>
          </w:p>
        </w:tc>
        <w:tc>
          <w:tcPr>
            <w:tcW w:w="1544" w:type="dxa"/>
            <w:vMerge w:val="restart"/>
            <w:tcBorders>
              <w:top w:val="nil"/>
              <w:left w:val="nil"/>
              <w:bottom w:val="nil"/>
              <w:right w:val="nil"/>
            </w:tcBorders>
            <w:shd w:val="clear" w:color="auto" w:fill="D6E3BC"/>
            <w:vAlign w:val="bottom"/>
            <w:hideMark/>
          </w:tcPr>
          <w:p w14:paraId="2F3C4516" w14:textId="77777777" w:rsidR="004F69FE" w:rsidRPr="008D6594" w:rsidRDefault="004F69FE" w:rsidP="008D48CF">
            <w:pPr>
              <w:jc w:val="cente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Medium Impact</w:t>
            </w:r>
          </w:p>
        </w:tc>
        <w:tc>
          <w:tcPr>
            <w:tcW w:w="1726" w:type="dxa"/>
            <w:tcBorders>
              <w:top w:val="nil"/>
              <w:left w:val="nil"/>
              <w:bottom w:val="nil"/>
              <w:right w:val="nil"/>
            </w:tcBorders>
            <w:shd w:val="clear" w:color="auto" w:fill="D6E3BC"/>
            <w:vAlign w:val="bottom"/>
            <w:hideMark/>
          </w:tcPr>
          <w:p w14:paraId="36332ED1" w14:textId="77777777" w:rsidR="004F69FE" w:rsidRPr="008D6594" w:rsidRDefault="004F69FE" w:rsidP="008D48CF">
            <w:pPr>
              <w:jc w:val="cente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High</w:t>
            </w:r>
          </w:p>
        </w:tc>
        <w:tc>
          <w:tcPr>
            <w:tcW w:w="1965" w:type="dxa"/>
            <w:vMerge w:val="restart"/>
            <w:tcBorders>
              <w:top w:val="nil"/>
              <w:left w:val="nil"/>
              <w:bottom w:val="nil"/>
              <w:right w:val="nil"/>
            </w:tcBorders>
            <w:shd w:val="clear" w:color="auto" w:fill="D6E3BC"/>
            <w:vAlign w:val="bottom"/>
            <w:hideMark/>
          </w:tcPr>
          <w:p w14:paraId="6497C8E3" w14:textId="77777777" w:rsidR="004F69FE" w:rsidRPr="008D6594" w:rsidRDefault="004F69FE" w:rsidP="008D48CF">
            <w:pPr>
              <w:jc w:val="cente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Very High Impact</w:t>
            </w:r>
          </w:p>
        </w:tc>
      </w:tr>
      <w:tr w:rsidR="004F69FE" w:rsidRPr="008D6594" w14:paraId="550355E7" w14:textId="77777777" w:rsidTr="008D48CF">
        <w:trPr>
          <w:trHeight w:val="469"/>
        </w:trPr>
        <w:tc>
          <w:tcPr>
            <w:tcW w:w="1960" w:type="dxa"/>
            <w:tcBorders>
              <w:top w:val="nil"/>
              <w:left w:val="nil"/>
              <w:bottom w:val="nil"/>
              <w:right w:val="nil"/>
            </w:tcBorders>
            <w:shd w:val="clear" w:color="auto" w:fill="D6E3BC"/>
            <w:vAlign w:val="bottom"/>
            <w:hideMark/>
          </w:tcPr>
          <w:p w14:paraId="34AD3011" w14:textId="77777777" w:rsidR="004F69FE" w:rsidRPr="008D6594" w:rsidRDefault="004F69FE" w:rsidP="008D48CF">
            <w:pPr>
              <w:rPr>
                <w:rFonts w:ascii="Garamond" w:eastAsia="Times New Roman" w:hAnsi="Garamond" w:cs="Calibri"/>
                <w:color w:val="000000"/>
                <w:sz w:val="32"/>
                <w:szCs w:val="32"/>
                <w:lang w:eastAsia="fr-CH"/>
              </w:rPr>
            </w:pPr>
            <w:r w:rsidRPr="008D6594">
              <w:rPr>
                <w:rFonts w:ascii="Garamond" w:eastAsia="Times New Roman" w:hAnsi="Garamond" w:cs="Calibri"/>
                <w:color w:val="000000"/>
                <w:sz w:val="32"/>
                <w:szCs w:val="32"/>
                <w:lang w:eastAsia="fr-CH"/>
              </w:rPr>
              <w:t> </w:t>
            </w:r>
          </w:p>
        </w:tc>
        <w:tc>
          <w:tcPr>
            <w:tcW w:w="1291" w:type="dxa"/>
            <w:tcBorders>
              <w:top w:val="nil"/>
              <w:left w:val="nil"/>
              <w:bottom w:val="nil"/>
              <w:right w:val="nil"/>
            </w:tcBorders>
            <w:shd w:val="clear" w:color="auto" w:fill="D6E3BC"/>
            <w:vAlign w:val="bottom"/>
            <w:hideMark/>
          </w:tcPr>
          <w:p w14:paraId="7319C11B" w14:textId="77777777" w:rsidR="004F69FE" w:rsidRPr="008D6594" w:rsidRDefault="004F69FE" w:rsidP="008D48CF">
            <w:pPr>
              <w:jc w:val="cente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Impact</w:t>
            </w:r>
          </w:p>
        </w:tc>
        <w:tc>
          <w:tcPr>
            <w:tcW w:w="1544" w:type="dxa"/>
            <w:vMerge/>
            <w:tcBorders>
              <w:top w:val="nil"/>
              <w:left w:val="nil"/>
              <w:bottom w:val="nil"/>
              <w:right w:val="nil"/>
            </w:tcBorders>
            <w:vAlign w:val="center"/>
            <w:hideMark/>
          </w:tcPr>
          <w:p w14:paraId="3E122D35" w14:textId="77777777" w:rsidR="004F69FE" w:rsidRPr="008D6594" w:rsidRDefault="004F69FE" w:rsidP="008D48CF">
            <w:pPr>
              <w:rPr>
                <w:rFonts w:ascii="Garamond" w:eastAsia="Times New Roman" w:hAnsi="Garamond" w:cs="Calibri"/>
                <w:bCs/>
                <w:color w:val="000000" w:themeColor="text1"/>
                <w:sz w:val="32"/>
                <w:szCs w:val="32"/>
                <w:lang w:eastAsia="fr-CH"/>
              </w:rPr>
            </w:pPr>
          </w:p>
        </w:tc>
        <w:tc>
          <w:tcPr>
            <w:tcW w:w="1726" w:type="dxa"/>
            <w:tcBorders>
              <w:top w:val="nil"/>
              <w:left w:val="nil"/>
              <w:bottom w:val="nil"/>
              <w:right w:val="nil"/>
            </w:tcBorders>
            <w:shd w:val="clear" w:color="auto" w:fill="D6E3BC"/>
            <w:vAlign w:val="bottom"/>
            <w:hideMark/>
          </w:tcPr>
          <w:p w14:paraId="5A5D2298" w14:textId="77777777" w:rsidR="004F69FE" w:rsidRPr="008D6594" w:rsidRDefault="004F69FE" w:rsidP="008D48CF">
            <w:pPr>
              <w:jc w:val="cente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Impact</w:t>
            </w:r>
          </w:p>
        </w:tc>
        <w:tc>
          <w:tcPr>
            <w:tcW w:w="1965" w:type="dxa"/>
            <w:vMerge/>
            <w:tcBorders>
              <w:top w:val="nil"/>
              <w:left w:val="nil"/>
              <w:bottom w:val="nil"/>
              <w:right w:val="nil"/>
            </w:tcBorders>
            <w:vAlign w:val="center"/>
            <w:hideMark/>
          </w:tcPr>
          <w:p w14:paraId="420500FA" w14:textId="77777777" w:rsidR="004F69FE" w:rsidRPr="008D6594" w:rsidRDefault="004F69FE" w:rsidP="008D48CF">
            <w:pPr>
              <w:rPr>
                <w:rFonts w:ascii="Garamond" w:eastAsia="Times New Roman" w:hAnsi="Garamond" w:cs="Calibri"/>
                <w:b/>
                <w:bCs/>
                <w:color w:val="FFFFFF"/>
                <w:sz w:val="32"/>
                <w:szCs w:val="32"/>
                <w:lang w:eastAsia="fr-CH"/>
              </w:rPr>
            </w:pPr>
          </w:p>
        </w:tc>
      </w:tr>
      <w:tr w:rsidR="004F69FE" w:rsidRPr="008D6594" w14:paraId="697513D6" w14:textId="77777777" w:rsidTr="0047698F">
        <w:trPr>
          <w:trHeight w:val="676"/>
        </w:trPr>
        <w:tc>
          <w:tcPr>
            <w:tcW w:w="1960" w:type="dxa"/>
            <w:tcBorders>
              <w:top w:val="nil"/>
              <w:left w:val="nil"/>
              <w:bottom w:val="nil"/>
              <w:right w:val="nil"/>
            </w:tcBorders>
            <w:shd w:val="clear" w:color="auto" w:fill="D6E3BC"/>
            <w:vAlign w:val="bottom"/>
            <w:hideMark/>
          </w:tcPr>
          <w:p w14:paraId="7C036C03" w14:textId="77777777" w:rsidR="004F69FE" w:rsidRPr="008D6594" w:rsidRDefault="004F69FE" w:rsidP="008D48CF">
            <w:pP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Very High Probability</w:t>
            </w:r>
          </w:p>
        </w:tc>
        <w:tc>
          <w:tcPr>
            <w:tcW w:w="1291" w:type="dxa"/>
            <w:tcBorders>
              <w:top w:val="nil"/>
              <w:left w:val="nil"/>
              <w:bottom w:val="nil"/>
              <w:right w:val="nil"/>
            </w:tcBorders>
            <w:shd w:val="clear" w:color="000000" w:fill="FFC000"/>
            <w:vAlign w:val="bottom"/>
          </w:tcPr>
          <w:p w14:paraId="2A539AEA" w14:textId="78E2D57F" w:rsidR="004F69FE" w:rsidRPr="008D6594" w:rsidRDefault="004F69FE" w:rsidP="0047698F">
            <w:pPr>
              <w:jc w:val="center"/>
              <w:rPr>
                <w:rFonts w:ascii="Garamond" w:eastAsia="Times New Roman" w:hAnsi="Garamond" w:cs="Arial"/>
                <w:sz w:val="32"/>
                <w:szCs w:val="32"/>
                <w:lang w:eastAsia="fr-CH"/>
              </w:rPr>
            </w:pPr>
          </w:p>
        </w:tc>
        <w:tc>
          <w:tcPr>
            <w:tcW w:w="1544" w:type="dxa"/>
            <w:tcBorders>
              <w:top w:val="nil"/>
              <w:left w:val="nil"/>
              <w:bottom w:val="nil"/>
              <w:right w:val="nil"/>
            </w:tcBorders>
            <w:shd w:val="clear" w:color="000000" w:fill="FF7C5D"/>
            <w:vAlign w:val="bottom"/>
          </w:tcPr>
          <w:p w14:paraId="646AC52B" w14:textId="7A9BF516" w:rsidR="004F69FE" w:rsidRPr="008D6594" w:rsidRDefault="0047698F" w:rsidP="0047698F">
            <w:pPr>
              <w:jc w:val="center"/>
              <w:rPr>
                <w:rFonts w:ascii="Garamond" w:eastAsia="Times New Roman" w:hAnsi="Garamond" w:cs="Calibri"/>
                <w:color w:val="000000"/>
                <w:sz w:val="32"/>
                <w:szCs w:val="32"/>
                <w:lang w:eastAsia="fr-CH"/>
              </w:rPr>
            </w:pPr>
            <w:r>
              <w:rPr>
                <w:rFonts w:ascii="Garamond" w:eastAsia="Times New Roman" w:hAnsi="Garamond" w:cs="Calibri"/>
                <w:color w:val="000000"/>
                <w:sz w:val="32"/>
                <w:szCs w:val="32"/>
                <w:lang w:eastAsia="fr-CH"/>
              </w:rPr>
              <w:t>4</w:t>
            </w:r>
          </w:p>
        </w:tc>
        <w:tc>
          <w:tcPr>
            <w:tcW w:w="1726" w:type="dxa"/>
            <w:tcBorders>
              <w:top w:val="nil"/>
              <w:left w:val="nil"/>
              <w:bottom w:val="nil"/>
              <w:right w:val="nil"/>
            </w:tcBorders>
            <w:shd w:val="clear" w:color="000000" w:fill="FF0000"/>
            <w:vAlign w:val="bottom"/>
          </w:tcPr>
          <w:p w14:paraId="6F1AEB5E" w14:textId="4C163CA3" w:rsidR="004F69FE" w:rsidRPr="008D6594" w:rsidRDefault="0047698F" w:rsidP="0047698F">
            <w:pPr>
              <w:jc w:val="center"/>
              <w:rPr>
                <w:rFonts w:ascii="Garamond" w:eastAsia="Times New Roman" w:hAnsi="Garamond" w:cs="Calibri"/>
                <w:color w:val="000000"/>
                <w:sz w:val="32"/>
                <w:szCs w:val="32"/>
                <w:lang w:eastAsia="fr-CH"/>
              </w:rPr>
            </w:pPr>
            <w:r>
              <w:rPr>
                <w:rFonts w:ascii="Garamond" w:eastAsia="Times New Roman" w:hAnsi="Garamond" w:cs="Calibri"/>
                <w:color w:val="000000"/>
                <w:sz w:val="32"/>
                <w:szCs w:val="32"/>
                <w:lang w:eastAsia="fr-CH"/>
              </w:rPr>
              <w:t>3</w:t>
            </w:r>
          </w:p>
        </w:tc>
        <w:tc>
          <w:tcPr>
            <w:tcW w:w="1965" w:type="dxa"/>
            <w:tcBorders>
              <w:top w:val="nil"/>
              <w:left w:val="nil"/>
              <w:bottom w:val="nil"/>
              <w:right w:val="nil"/>
            </w:tcBorders>
            <w:shd w:val="clear" w:color="000000" w:fill="FF0000"/>
            <w:vAlign w:val="bottom"/>
          </w:tcPr>
          <w:p w14:paraId="76C472CD" w14:textId="0C210592" w:rsidR="004F69FE" w:rsidRPr="008D6594" w:rsidRDefault="0047698F" w:rsidP="0047698F">
            <w:pPr>
              <w:jc w:val="center"/>
              <w:rPr>
                <w:rFonts w:ascii="Garamond" w:eastAsia="Times New Roman" w:hAnsi="Garamond" w:cs="Calibri"/>
                <w:color w:val="000000"/>
                <w:sz w:val="32"/>
                <w:szCs w:val="32"/>
                <w:lang w:eastAsia="fr-CH"/>
              </w:rPr>
            </w:pPr>
            <w:r>
              <w:rPr>
                <w:rFonts w:ascii="Garamond" w:eastAsia="Times New Roman" w:hAnsi="Garamond" w:cs="Calibri"/>
                <w:color w:val="000000"/>
                <w:sz w:val="32"/>
                <w:szCs w:val="32"/>
                <w:lang w:eastAsia="fr-CH"/>
              </w:rPr>
              <w:t>7</w:t>
            </w:r>
          </w:p>
        </w:tc>
      </w:tr>
      <w:tr w:rsidR="004F69FE" w:rsidRPr="008D6594" w14:paraId="1AB05F35" w14:textId="77777777" w:rsidTr="0047698F">
        <w:trPr>
          <w:trHeight w:val="941"/>
        </w:trPr>
        <w:tc>
          <w:tcPr>
            <w:tcW w:w="1960" w:type="dxa"/>
            <w:tcBorders>
              <w:top w:val="nil"/>
              <w:left w:val="nil"/>
              <w:bottom w:val="nil"/>
              <w:right w:val="nil"/>
            </w:tcBorders>
            <w:shd w:val="clear" w:color="auto" w:fill="D6E3BC"/>
            <w:vAlign w:val="bottom"/>
            <w:hideMark/>
          </w:tcPr>
          <w:p w14:paraId="4B86F233" w14:textId="77777777" w:rsidR="004F69FE" w:rsidRPr="008D6594" w:rsidRDefault="004F69FE" w:rsidP="008D48CF">
            <w:pP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High Probability</w:t>
            </w:r>
          </w:p>
        </w:tc>
        <w:tc>
          <w:tcPr>
            <w:tcW w:w="1291" w:type="dxa"/>
            <w:tcBorders>
              <w:top w:val="nil"/>
              <w:left w:val="nil"/>
              <w:bottom w:val="nil"/>
              <w:right w:val="nil"/>
            </w:tcBorders>
            <w:shd w:val="clear" w:color="000000" w:fill="FFC000"/>
            <w:vAlign w:val="bottom"/>
          </w:tcPr>
          <w:p w14:paraId="1306793A" w14:textId="366ED025" w:rsidR="004F69FE" w:rsidRPr="008D6594" w:rsidRDefault="004F69FE" w:rsidP="0047698F">
            <w:pPr>
              <w:jc w:val="center"/>
              <w:rPr>
                <w:rFonts w:ascii="Garamond" w:eastAsia="Times New Roman" w:hAnsi="Garamond" w:cs="Arial"/>
                <w:sz w:val="32"/>
                <w:szCs w:val="32"/>
                <w:lang w:eastAsia="fr-CH"/>
              </w:rPr>
            </w:pPr>
          </w:p>
        </w:tc>
        <w:tc>
          <w:tcPr>
            <w:tcW w:w="1544" w:type="dxa"/>
            <w:tcBorders>
              <w:top w:val="nil"/>
              <w:left w:val="nil"/>
              <w:bottom w:val="nil"/>
              <w:right w:val="nil"/>
            </w:tcBorders>
            <w:shd w:val="clear" w:color="000000" w:fill="FF7C5D"/>
            <w:vAlign w:val="bottom"/>
          </w:tcPr>
          <w:p w14:paraId="7A6572B8" w14:textId="79F13AEF" w:rsidR="004F69FE" w:rsidRPr="008D6594" w:rsidRDefault="004F69FE" w:rsidP="0047698F">
            <w:pPr>
              <w:jc w:val="center"/>
              <w:rPr>
                <w:rFonts w:ascii="Garamond" w:eastAsia="Times New Roman" w:hAnsi="Garamond" w:cs="Calibri"/>
                <w:color w:val="000000"/>
                <w:sz w:val="32"/>
                <w:szCs w:val="32"/>
                <w:lang w:eastAsia="fr-CH"/>
              </w:rPr>
            </w:pPr>
          </w:p>
        </w:tc>
        <w:tc>
          <w:tcPr>
            <w:tcW w:w="1726" w:type="dxa"/>
            <w:tcBorders>
              <w:top w:val="nil"/>
              <w:left w:val="nil"/>
              <w:bottom w:val="nil"/>
              <w:right w:val="nil"/>
            </w:tcBorders>
            <w:shd w:val="clear" w:color="000000" w:fill="FF0000"/>
            <w:vAlign w:val="bottom"/>
          </w:tcPr>
          <w:p w14:paraId="20EEF614" w14:textId="2ACA0C91" w:rsidR="004F69FE" w:rsidRPr="008D6594" w:rsidRDefault="0047698F" w:rsidP="0047698F">
            <w:pPr>
              <w:jc w:val="center"/>
              <w:rPr>
                <w:rFonts w:ascii="Garamond" w:eastAsia="Times New Roman" w:hAnsi="Garamond" w:cs="Calibri"/>
                <w:color w:val="000000"/>
                <w:sz w:val="32"/>
                <w:szCs w:val="32"/>
                <w:lang w:eastAsia="fr-CH"/>
              </w:rPr>
            </w:pPr>
            <w:r>
              <w:rPr>
                <w:rFonts w:ascii="Garamond" w:eastAsia="Times New Roman" w:hAnsi="Garamond" w:cs="Calibri"/>
                <w:color w:val="000000"/>
                <w:sz w:val="32"/>
                <w:szCs w:val="32"/>
                <w:lang w:eastAsia="fr-CH"/>
              </w:rPr>
              <w:t>2, 5, 17</w:t>
            </w:r>
          </w:p>
        </w:tc>
        <w:tc>
          <w:tcPr>
            <w:tcW w:w="1965" w:type="dxa"/>
            <w:tcBorders>
              <w:top w:val="nil"/>
              <w:left w:val="nil"/>
              <w:bottom w:val="nil"/>
              <w:right w:val="nil"/>
            </w:tcBorders>
            <w:shd w:val="clear" w:color="000000" w:fill="FF0000"/>
            <w:vAlign w:val="bottom"/>
          </w:tcPr>
          <w:p w14:paraId="0A633336" w14:textId="312550D7" w:rsidR="004F69FE" w:rsidRPr="008D6594" w:rsidRDefault="004F69FE" w:rsidP="0047698F">
            <w:pPr>
              <w:jc w:val="center"/>
              <w:rPr>
                <w:rFonts w:ascii="Garamond" w:eastAsia="Times New Roman" w:hAnsi="Garamond" w:cs="Calibri"/>
                <w:color w:val="000000"/>
                <w:sz w:val="32"/>
                <w:szCs w:val="32"/>
                <w:lang w:eastAsia="fr-CH"/>
              </w:rPr>
            </w:pPr>
          </w:p>
        </w:tc>
      </w:tr>
      <w:tr w:rsidR="004F69FE" w:rsidRPr="008D6594" w14:paraId="7365E7B1" w14:textId="77777777" w:rsidTr="0047698F">
        <w:trPr>
          <w:trHeight w:val="854"/>
        </w:trPr>
        <w:tc>
          <w:tcPr>
            <w:tcW w:w="1960" w:type="dxa"/>
            <w:tcBorders>
              <w:top w:val="nil"/>
              <w:left w:val="nil"/>
              <w:bottom w:val="nil"/>
              <w:right w:val="nil"/>
            </w:tcBorders>
            <w:shd w:val="clear" w:color="auto" w:fill="D6E3BC"/>
            <w:vAlign w:val="bottom"/>
            <w:hideMark/>
          </w:tcPr>
          <w:p w14:paraId="7B413DC1" w14:textId="77777777" w:rsidR="004F69FE" w:rsidRPr="008D6594" w:rsidRDefault="004F69FE" w:rsidP="008D48CF">
            <w:pP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Moderate Probability</w:t>
            </w:r>
          </w:p>
        </w:tc>
        <w:tc>
          <w:tcPr>
            <w:tcW w:w="1291" w:type="dxa"/>
            <w:tcBorders>
              <w:top w:val="nil"/>
              <w:left w:val="nil"/>
              <w:bottom w:val="nil"/>
              <w:right w:val="nil"/>
            </w:tcBorders>
            <w:shd w:val="clear" w:color="000000" w:fill="92D050"/>
            <w:vAlign w:val="bottom"/>
          </w:tcPr>
          <w:p w14:paraId="10EB1C96" w14:textId="378BC7A1" w:rsidR="004F69FE" w:rsidRPr="008D6594" w:rsidRDefault="004F69FE" w:rsidP="0047698F">
            <w:pPr>
              <w:jc w:val="center"/>
              <w:rPr>
                <w:rFonts w:ascii="Garamond" w:eastAsia="Times New Roman" w:hAnsi="Garamond" w:cs="Arial"/>
                <w:sz w:val="32"/>
                <w:szCs w:val="32"/>
                <w:lang w:eastAsia="fr-CH"/>
              </w:rPr>
            </w:pPr>
          </w:p>
        </w:tc>
        <w:tc>
          <w:tcPr>
            <w:tcW w:w="1544" w:type="dxa"/>
            <w:tcBorders>
              <w:top w:val="nil"/>
              <w:left w:val="nil"/>
              <w:bottom w:val="nil"/>
              <w:right w:val="nil"/>
            </w:tcBorders>
            <w:shd w:val="clear" w:color="000000" w:fill="FFC000"/>
            <w:vAlign w:val="bottom"/>
          </w:tcPr>
          <w:p w14:paraId="26B4698E" w14:textId="78B8EB62" w:rsidR="004F69FE" w:rsidRPr="008D6594" w:rsidRDefault="0047698F" w:rsidP="0047698F">
            <w:pPr>
              <w:jc w:val="center"/>
              <w:rPr>
                <w:rFonts w:ascii="Garamond" w:eastAsia="Times New Roman" w:hAnsi="Garamond" w:cs="Calibri"/>
                <w:color w:val="000000"/>
                <w:sz w:val="32"/>
                <w:szCs w:val="32"/>
                <w:lang w:eastAsia="fr-CH"/>
              </w:rPr>
            </w:pPr>
            <w:r>
              <w:rPr>
                <w:rFonts w:ascii="Garamond" w:eastAsia="Times New Roman" w:hAnsi="Garamond" w:cs="Calibri"/>
                <w:color w:val="000000"/>
                <w:sz w:val="32"/>
                <w:szCs w:val="32"/>
                <w:lang w:eastAsia="fr-CH"/>
              </w:rPr>
              <w:t>6, 8, 11, 14, 16, 18, 23</w:t>
            </w:r>
          </w:p>
        </w:tc>
        <w:tc>
          <w:tcPr>
            <w:tcW w:w="1726" w:type="dxa"/>
            <w:tcBorders>
              <w:top w:val="nil"/>
              <w:left w:val="nil"/>
              <w:bottom w:val="nil"/>
              <w:right w:val="nil"/>
            </w:tcBorders>
            <w:shd w:val="clear" w:color="000000" w:fill="FF7C5D"/>
            <w:vAlign w:val="bottom"/>
          </w:tcPr>
          <w:p w14:paraId="724235DD" w14:textId="34F2BE7B" w:rsidR="004F69FE" w:rsidRPr="008D6594" w:rsidRDefault="0047698F" w:rsidP="0047698F">
            <w:pPr>
              <w:jc w:val="center"/>
              <w:rPr>
                <w:rFonts w:ascii="Garamond" w:eastAsia="Times New Roman" w:hAnsi="Garamond" w:cs="Calibri"/>
                <w:color w:val="000000"/>
                <w:sz w:val="32"/>
                <w:szCs w:val="32"/>
                <w:lang w:eastAsia="fr-CH"/>
              </w:rPr>
            </w:pPr>
            <w:r>
              <w:rPr>
                <w:rFonts w:ascii="Garamond" w:eastAsia="Times New Roman" w:hAnsi="Garamond" w:cs="Calibri"/>
                <w:color w:val="000000"/>
                <w:sz w:val="32"/>
                <w:szCs w:val="32"/>
                <w:lang w:eastAsia="fr-CH"/>
              </w:rPr>
              <w:t>1, 19</w:t>
            </w:r>
          </w:p>
        </w:tc>
        <w:tc>
          <w:tcPr>
            <w:tcW w:w="1965" w:type="dxa"/>
            <w:tcBorders>
              <w:top w:val="nil"/>
              <w:left w:val="nil"/>
              <w:bottom w:val="nil"/>
              <w:right w:val="nil"/>
            </w:tcBorders>
            <w:shd w:val="clear" w:color="000000" w:fill="FF0000"/>
            <w:vAlign w:val="bottom"/>
          </w:tcPr>
          <w:p w14:paraId="711951D9" w14:textId="756023B7" w:rsidR="004F69FE" w:rsidRPr="008D6594" w:rsidRDefault="0047698F" w:rsidP="0047698F">
            <w:pPr>
              <w:jc w:val="center"/>
              <w:rPr>
                <w:rFonts w:ascii="Garamond" w:eastAsia="Times New Roman" w:hAnsi="Garamond" w:cs="Calibri"/>
                <w:color w:val="000000"/>
                <w:sz w:val="32"/>
                <w:szCs w:val="32"/>
                <w:lang w:eastAsia="fr-CH"/>
              </w:rPr>
            </w:pPr>
            <w:r>
              <w:rPr>
                <w:rFonts w:ascii="Garamond" w:eastAsia="Times New Roman" w:hAnsi="Garamond" w:cs="Calibri"/>
                <w:color w:val="000000"/>
                <w:sz w:val="32"/>
                <w:szCs w:val="32"/>
                <w:lang w:eastAsia="fr-CH"/>
              </w:rPr>
              <w:t>5, 9, 20, 21, 22, 24</w:t>
            </w:r>
          </w:p>
        </w:tc>
      </w:tr>
      <w:tr w:rsidR="004F69FE" w:rsidRPr="008D6594" w14:paraId="25F38016" w14:textId="77777777" w:rsidTr="0047698F">
        <w:trPr>
          <w:trHeight w:val="697"/>
        </w:trPr>
        <w:tc>
          <w:tcPr>
            <w:tcW w:w="1960" w:type="dxa"/>
            <w:tcBorders>
              <w:top w:val="nil"/>
              <w:left w:val="nil"/>
              <w:bottom w:val="nil"/>
              <w:right w:val="nil"/>
            </w:tcBorders>
            <w:shd w:val="clear" w:color="auto" w:fill="D6E3BC"/>
            <w:vAlign w:val="bottom"/>
            <w:hideMark/>
          </w:tcPr>
          <w:p w14:paraId="277666DD" w14:textId="77777777" w:rsidR="004F69FE" w:rsidRPr="008D6594" w:rsidRDefault="004F69FE" w:rsidP="008D48CF">
            <w:pPr>
              <w:rPr>
                <w:rFonts w:ascii="Garamond" w:eastAsia="Times New Roman" w:hAnsi="Garamond" w:cs="Calibri"/>
                <w:bCs/>
                <w:color w:val="000000" w:themeColor="text1"/>
                <w:sz w:val="32"/>
                <w:szCs w:val="32"/>
                <w:lang w:eastAsia="fr-CH"/>
              </w:rPr>
            </w:pPr>
            <w:r w:rsidRPr="008D6594">
              <w:rPr>
                <w:rFonts w:ascii="Garamond" w:eastAsia="Times New Roman" w:hAnsi="Garamond" w:cs="Calibri"/>
                <w:bCs/>
                <w:color w:val="000000" w:themeColor="text1"/>
                <w:sz w:val="32"/>
                <w:szCs w:val="32"/>
                <w:lang w:eastAsia="fr-CH"/>
              </w:rPr>
              <w:t>Low Probability</w:t>
            </w:r>
          </w:p>
        </w:tc>
        <w:tc>
          <w:tcPr>
            <w:tcW w:w="1291" w:type="dxa"/>
            <w:tcBorders>
              <w:top w:val="nil"/>
              <w:left w:val="nil"/>
              <w:bottom w:val="nil"/>
              <w:right w:val="nil"/>
            </w:tcBorders>
            <w:shd w:val="clear" w:color="000000" w:fill="92D050"/>
            <w:vAlign w:val="bottom"/>
          </w:tcPr>
          <w:p w14:paraId="045505FA" w14:textId="39223775" w:rsidR="004F69FE" w:rsidRPr="008D6594" w:rsidRDefault="0047698F" w:rsidP="0047698F">
            <w:pPr>
              <w:jc w:val="center"/>
              <w:rPr>
                <w:rFonts w:ascii="Garamond" w:eastAsia="Times New Roman" w:hAnsi="Garamond" w:cs="Arial"/>
                <w:sz w:val="32"/>
                <w:szCs w:val="32"/>
                <w:lang w:eastAsia="fr-CH"/>
              </w:rPr>
            </w:pPr>
            <w:r>
              <w:rPr>
                <w:rFonts w:ascii="Garamond" w:eastAsia="Times New Roman" w:hAnsi="Garamond" w:cs="Arial"/>
                <w:sz w:val="32"/>
                <w:szCs w:val="32"/>
                <w:lang w:eastAsia="fr-CH"/>
              </w:rPr>
              <w:t>25</w:t>
            </w:r>
          </w:p>
        </w:tc>
        <w:tc>
          <w:tcPr>
            <w:tcW w:w="1544" w:type="dxa"/>
            <w:tcBorders>
              <w:top w:val="nil"/>
              <w:left w:val="nil"/>
              <w:bottom w:val="nil"/>
              <w:right w:val="nil"/>
            </w:tcBorders>
            <w:shd w:val="clear" w:color="000000" w:fill="FFC000"/>
            <w:vAlign w:val="bottom"/>
          </w:tcPr>
          <w:p w14:paraId="4CD30B8E" w14:textId="433E7D83" w:rsidR="004F69FE" w:rsidRPr="008D6594" w:rsidRDefault="004F69FE" w:rsidP="0047698F">
            <w:pPr>
              <w:jc w:val="center"/>
              <w:rPr>
                <w:rFonts w:ascii="Garamond" w:eastAsia="Times New Roman" w:hAnsi="Garamond" w:cs="Calibri"/>
                <w:color w:val="000000"/>
                <w:sz w:val="32"/>
                <w:szCs w:val="32"/>
                <w:lang w:eastAsia="fr-CH"/>
              </w:rPr>
            </w:pPr>
          </w:p>
        </w:tc>
        <w:tc>
          <w:tcPr>
            <w:tcW w:w="1726" w:type="dxa"/>
            <w:tcBorders>
              <w:top w:val="nil"/>
              <w:left w:val="nil"/>
              <w:bottom w:val="nil"/>
              <w:right w:val="nil"/>
            </w:tcBorders>
            <w:shd w:val="clear" w:color="000000" w:fill="FF7C5D"/>
            <w:vAlign w:val="bottom"/>
          </w:tcPr>
          <w:p w14:paraId="576F2837" w14:textId="25CEE9A9" w:rsidR="004F69FE" w:rsidRPr="008D6594" w:rsidRDefault="0047698F" w:rsidP="0047698F">
            <w:pPr>
              <w:jc w:val="center"/>
              <w:rPr>
                <w:rFonts w:ascii="Garamond" w:eastAsia="Times New Roman" w:hAnsi="Garamond" w:cs="Calibri"/>
                <w:color w:val="000000"/>
                <w:sz w:val="32"/>
                <w:szCs w:val="32"/>
                <w:lang w:eastAsia="fr-CH"/>
              </w:rPr>
            </w:pPr>
            <w:r>
              <w:rPr>
                <w:rFonts w:ascii="Garamond" w:eastAsia="Times New Roman" w:hAnsi="Garamond" w:cs="Calibri"/>
                <w:color w:val="000000"/>
                <w:sz w:val="32"/>
                <w:szCs w:val="32"/>
                <w:lang w:eastAsia="fr-CH"/>
              </w:rPr>
              <w:t>13, 26</w:t>
            </w:r>
          </w:p>
        </w:tc>
        <w:tc>
          <w:tcPr>
            <w:tcW w:w="1965" w:type="dxa"/>
            <w:tcBorders>
              <w:top w:val="nil"/>
              <w:left w:val="nil"/>
              <w:bottom w:val="nil"/>
              <w:right w:val="nil"/>
            </w:tcBorders>
            <w:shd w:val="clear" w:color="000000" w:fill="FF0000"/>
            <w:vAlign w:val="bottom"/>
          </w:tcPr>
          <w:p w14:paraId="5E66B9D1" w14:textId="4DB03E3A" w:rsidR="004F69FE" w:rsidRPr="008D6594" w:rsidRDefault="0047698F" w:rsidP="0047698F">
            <w:pPr>
              <w:jc w:val="center"/>
              <w:rPr>
                <w:rFonts w:ascii="Garamond" w:eastAsia="Times New Roman" w:hAnsi="Garamond" w:cs="Calibri"/>
                <w:color w:val="000000"/>
                <w:sz w:val="32"/>
                <w:szCs w:val="32"/>
                <w:lang w:eastAsia="fr-CH"/>
              </w:rPr>
            </w:pPr>
            <w:r>
              <w:rPr>
                <w:rFonts w:ascii="Garamond" w:eastAsia="Times New Roman" w:hAnsi="Garamond" w:cs="Calibri"/>
                <w:color w:val="000000"/>
                <w:sz w:val="32"/>
                <w:szCs w:val="32"/>
                <w:lang w:eastAsia="fr-CH"/>
              </w:rPr>
              <w:t>10, 12</w:t>
            </w:r>
          </w:p>
        </w:tc>
      </w:tr>
    </w:tbl>
    <w:p w14:paraId="09859AD2" w14:textId="77777777" w:rsidR="004F69FE" w:rsidRDefault="004F69FE" w:rsidP="004F69FE">
      <w:pPr>
        <w:rPr>
          <w:sz w:val="24"/>
          <w:szCs w:val="24"/>
        </w:rPr>
      </w:pPr>
    </w:p>
    <w:p w14:paraId="6591210F" w14:textId="265A1507" w:rsidR="004F69FE" w:rsidRPr="002C6B7B" w:rsidRDefault="00453CBE" w:rsidP="004F69FE">
      <w:r>
        <w:t xml:space="preserve">Based on this risk assessment, </w:t>
      </w:r>
      <w:r w:rsidR="004F69FE" w:rsidRPr="002C6B7B">
        <w:t xml:space="preserve">PDMD will </w:t>
      </w:r>
      <w:r>
        <w:t xml:space="preserve">be required to </w:t>
      </w:r>
      <w:r w:rsidR="004F69FE" w:rsidRPr="002C6B7B">
        <w:t>investigate and determine mitigation measures in priority for the category of risks included in the red cells of the matrix. In other words, high priority will be accorded to the category of risks having the most severe impact on PDMD business activities and the highest probability to occur.</w:t>
      </w:r>
    </w:p>
    <w:p w14:paraId="0CA9373F" w14:textId="52B92AD3" w:rsidR="004F69FE" w:rsidRPr="002C6B7B" w:rsidRDefault="004F69FE" w:rsidP="004F69FE"/>
    <w:p w14:paraId="14CE1F2B" w14:textId="018FFF4E" w:rsidR="004F69FE" w:rsidRPr="00453CBE" w:rsidRDefault="004F69FE" w:rsidP="004F69FE">
      <w:pPr>
        <w:rPr>
          <w:rFonts w:cs="Arial"/>
        </w:rPr>
      </w:pPr>
      <w:r w:rsidRPr="004F69FE">
        <w:rPr>
          <w:rFonts w:cs="Arial"/>
        </w:rPr>
        <w:t xml:space="preserve">The PDMD </w:t>
      </w:r>
      <w:r w:rsidR="00453CBE">
        <w:rPr>
          <w:rFonts w:cs="Arial"/>
        </w:rPr>
        <w:t>should</w:t>
      </w:r>
      <w:r w:rsidRPr="004F69FE">
        <w:rPr>
          <w:rFonts w:cs="Arial"/>
        </w:rPr>
        <w:t xml:space="preserve"> select the most effective and suitable treatment of operational risks associated with each critical activity. It means making a choice between the following possible approaches:</w:t>
      </w:r>
    </w:p>
    <w:p w14:paraId="428E6F71" w14:textId="77777777" w:rsidR="004F69FE" w:rsidRPr="000A7513" w:rsidRDefault="004F69FE" w:rsidP="004F69FE">
      <w:pPr>
        <w:pStyle w:val="ListParagraph"/>
        <w:numPr>
          <w:ilvl w:val="0"/>
          <w:numId w:val="14"/>
        </w:numPr>
        <w:spacing w:after="160" w:line="259" w:lineRule="auto"/>
        <w:rPr>
          <w:rFonts w:cs="Arial"/>
        </w:rPr>
      </w:pPr>
      <w:r w:rsidRPr="00453CBE">
        <w:rPr>
          <w:rFonts w:cs="Arial"/>
          <w:b/>
        </w:rPr>
        <w:t>Prevent or avoid</w:t>
      </w:r>
      <w:r w:rsidRPr="00453CBE">
        <w:rPr>
          <w:rFonts w:cs="Arial"/>
        </w:rPr>
        <w:t xml:space="preserve"> the risk, by taking measures to reduce or eliminate the probability of occurrence of an event.</w:t>
      </w:r>
    </w:p>
    <w:p w14:paraId="6D560C14" w14:textId="77777777" w:rsidR="004F69FE" w:rsidRPr="000B5737" w:rsidRDefault="004F69FE" w:rsidP="004F69FE">
      <w:pPr>
        <w:pStyle w:val="ListParagraph"/>
        <w:numPr>
          <w:ilvl w:val="0"/>
          <w:numId w:val="14"/>
        </w:numPr>
        <w:spacing w:after="160" w:line="259" w:lineRule="auto"/>
        <w:rPr>
          <w:rFonts w:cs="Arial"/>
        </w:rPr>
      </w:pPr>
      <w:r w:rsidRPr="000B5737">
        <w:rPr>
          <w:rFonts w:cs="Arial"/>
          <w:b/>
        </w:rPr>
        <w:t xml:space="preserve">Transfer </w:t>
      </w:r>
      <w:r w:rsidRPr="000B5737">
        <w:rPr>
          <w:rFonts w:cs="Arial"/>
        </w:rPr>
        <w:t>the risk, by outsourcing it or taking an insurance with a third party.</w:t>
      </w:r>
    </w:p>
    <w:p w14:paraId="191A46CA" w14:textId="77777777" w:rsidR="004F69FE" w:rsidRPr="002C6B7B" w:rsidRDefault="004F69FE" w:rsidP="004F69FE">
      <w:pPr>
        <w:pStyle w:val="ListParagraph"/>
        <w:numPr>
          <w:ilvl w:val="0"/>
          <w:numId w:val="14"/>
        </w:numPr>
        <w:spacing w:after="160" w:line="259" w:lineRule="auto"/>
        <w:rPr>
          <w:rFonts w:cs="Arial"/>
        </w:rPr>
      </w:pPr>
      <w:r w:rsidRPr="002C6B7B">
        <w:rPr>
          <w:rFonts w:cs="Arial"/>
          <w:b/>
        </w:rPr>
        <w:lastRenderedPageBreak/>
        <w:t xml:space="preserve">Contain </w:t>
      </w:r>
      <w:r w:rsidRPr="002C6B7B">
        <w:rPr>
          <w:rFonts w:cs="Arial"/>
        </w:rPr>
        <w:t>the risk, by using controls or other techniques to limit the severity of consequences of the risk materialization.</w:t>
      </w:r>
    </w:p>
    <w:p w14:paraId="201A8009" w14:textId="77777777" w:rsidR="004F69FE" w:rsidRPr="002C6B7B" w:rsidRDefault="004F69FE" w:rsidP="004F69FE">
      <w:pPr>
        <w:pStyle w:val="ListParagraph"/>
        <w:numPr>
          <w:ilvl w:val="0"/>
          <w:numId w:val="14"/>
        </w:numPr>
        <w:spacing w:after="160" w:line="259" w:lineRule="auto"/>
        <w:rPr>
          <w:rFonts w:cs="Arial"/>
        </w:rPr>
      </w:pPr>
      <w:r w:rsidRPr="002C6B7B">
        <w:rPr>
          <w:rFonts w:cs="Arial"/>
          <w:b/>
        </w:rPr>
        <w:t>Accept</w:t>
      </w:r>
      <w:r w:rsidRPr="002C6B7B">
        <w:rPr>
          <w:rFonts w:cs="Arial"/>
        </w:rPr>
        <w:t xml:space="preserve"> the risk and recover from the disruption by resuming critical activities as successfully and rapidly as possible.</w:t>
      </w:r>
    </w:p>
    <w:p w14:paraId="24ACD0AC" w14:textId="77777777" w:rsidR="004F69FE" w:rsidRPr="005C470B" w:rsidRDefault="004F69FE" w:rsidP="004F69FE">
      <w:pPr>
        <w:rPr>
          <w:sz w:val="24"/>
          <w:szCs w:val="24"/>
        </w:rPr>
      </w:pPr>
    </w:p>
    <w:p w14:paraId="0BC0EC94" w14:textId="77777777" w:rsidR="001900E3" w:rsidRDefault="001900E3" w:rsidP="001900E3">
      <w:pPr>
        <w:rPr>
          <w:rFonts w:cs="Arial"/>
        </w:rPr>
      </w:pPr>
    </w:p>
    <w:p w14:paraId="2480D424" w14:textId="77777777" w:rsidR="001900E3" w:rsidRDefault="001900E3" w:rsidP="00201A59">
      <w:pPr>
        <w:pStyle w:val="Heading2"/>
        <w:numPr>
          <w:ilvl w:val="1"/>
          <w:numId w:val="10"/>
        </w:numPr>
        <w:spacing w:line="259" w:lineRule="auto"/>
      </w:pPr>
      <w:bookmarkStart w:id="12" w:name="_Toc523327590"/>
      <w:r>
        <w:t>Current IT situation</w:t>
      </w:r>
      <w:bookmarkEnd w:id="12"/>
    </w:p>
    <w:p w14:paraId="6359D88C" w14:textId="77777777" w:rsidR="001900E3" w:rsidRDefault="001900E3" w:rsidP="001900E3">
      <w:pPr>
        <w:rPr>
          <w:rFonts w:cs="Arial"/>
        </w:rPr>
      </w:pPr>
    </w:p>
    <w:p w14:paraId="7D57241E" w14:textId="0340ADD8" w:rsidR="001900E3" w:rsidRDefault="001900E3" w:rsidP="001900E3">
      <w:pPr>
        <w:rPr>
          <w:rFonts w:cs="Arial"/>
        </w:rPr>
      </w:pPr>
      <w:r w:rsidRPr="004F5E51">
        <w:rPr>
          <w:rFonts w:cs="Arial"/>
        </w:rPr>
        <w:t xml:space="preserve">The server </w:t>
      </w:r>
      <w:r>
        <w:rPr>
          <w:rFonts w:cs="Arial"/>
        </w:rPr>
        <w:t xml:space="preserve">room </w:t>
      </w:r>
      <w:r w:rsidRPr="004F5E51">
        <w:rPr>
          <w:rFonts w:cs="Arial"/>
        </w:rPr>
        <w:t xml:space="preserve">of the Ministry of Finance </w:t>
      </w:r>
      <w:r>
        <w:rPr>
          <w:rFonts w:cs="Arial"/>
        </w:rPr>
        <w:t>(securitized room) is located</w:t>
      </w:r>
      <w:r w:rsidRPr="004F5E51">
        <w:rPr>
          <w:rFonts w:cs="Arial"/>
        </w:rPr>
        <w:t xml:space="preserve"> in th</w:t>
      </w:r>
      <w:r>
        <w:rPr>
          <w:rFonts w:cs="Arial"/>
        </w:rPr>
        <w:t>e main building of the MoF (Melik Adamyan</w:t>
      </w:r>
      <w:r w:rsidRPr="004F5E51">
        <w:rPr>
          <w:rFonts w:cs="Arial"/>
        </w:rPr>
        <w:t xml:space="preserve">). </w:t>
      </w:r>
      <w:r>
        <w:rPr>
          <w:rFonts w:cs="Arial"/>
        </w:rPr>
        <w:t>The servers are running applications used by the PDMD, notably the Treasury Payment System (TPS), DMFAS, the Treasury Direct system, and the CBAnet. These servers also ensure the functioning of the Ministry VPN network.</w:t>
      </w:r>
    </w:p>
    <w:p w14:paraId="7DEA39B0" w14:textId="77777777" w:rsidR="001900E3" w:rsidRDefault="001900E3" w:rsidP="001900E3">
      <w:pPr>
        <w:rPr>
          <w:rFonts w:cs="Arial"/>
        </w:rPr>
      </w:pPr>
    </w:p>
    <w:p w14:paraId="13119833" w14:textId="08D56757" w:rsidR="001900E3" w:rsidRDefault="001900E3" w:rsidP="001900E3">
      <w:pPr>
        <w:rPr>
          <w:rFonts w:cs="Arial"/>
        </w:rPr>
      </w:pPr>
      <w:r>
        <w:rPr>
          <w:rFonts w:cs="Arial"/>
        </w:rPr>
        <w:t>The PDMD office is situated in another building close-by (Tigran Mets). PDMD computers are connecting to the Ministry’s network through the only communication line between the Tigran Mets building and the Melik Adamyan building. This line is also connecting telephones and Internet access.</w:t>
      </w:r>
    </w:p>
    <w:p w14:paraId="1D93BABF" w14:textId="77777777" w:rsidR="001900E3" w:rsidRDefault="001900E3" w:rsidP="001900E3">
      <w:pPr>
        <w:rPr>
          <w:rFonts w:cs="Arial"/>
        </w:rPr>
      </w:pPr>
    </w:p>
    <w:p w14:paraId="25089566" w14:textId="1DB400E9" w:rsidR="001900E3" w:rsidRPr="004F5E51" w:rsidRDefault="001900E3" w:rsidP="001900E3">
      <w:pPr>
        <w:rPr>
          <w:rFonts w:cs="Arial"/>
        </w:rPr>
      </w:pPr>
      <w:r>
        <w:rPr>
          <w:rFonts w:cs="Arial"/>
        </w:rPr>
        <w:t xml:space="preserve">The IT Department is backing up applications, at the end of the day, on virtual servers. Virtual servers are used by IT engineers to </w:t>
      </w:r>
      <w:r w:rsidRPr="004F5E51">
        <w:rPr>
          <w:rFonts w:cs="Arial"/>
        </w:rPr>
        <w:t>convert one physical server into multiple virtual servers which are independe</w:t>
      </w:r>
      <w:r>
        <w:rPr>
          <w:rFonts w:cs="Arial"/>
        </w:rPr>
        <w:t xml:space="preserve">nt. In doing so, </w:t>
      </w:r>
      <w:r w:rsidRPr="004F5E51">
        <w:rPr>
          <w:rFonts w:cs="Arial"/>
        </w:rPr>
        <w:t>hardware costs</w:t>
      </w:r>
      <w:r>
        <w:rPr>
          <w:rFonts w:cs="Arial"/>
        </w:rPr>
        <w:t xml:space="preserve"> are reduced without preventing backups to be performed </w:t>
      </w:r>
      <w:r w:rsidRPr="004F5E51">
        <w:rPr>
          <w:rFonts w:cs="Arial"/>
        </w:rPr>
        <w:t>on different physical machines (servers).</w:t>
      </w:r>
      <w:r>
        <w:rPr>
          <w:rFonts w:cs="Arial"/>
        </w:rPr>
        <w:t xml:space="preserve"> </w:t>
      </w:r>
      <w:r w:rsidRPr="004F5E51">
        <w:rPr>
          <w:rFonts w:cs="Arial"/>
        </w:rPr>
        <w:t>Currently, the IT Departm</w:t>
      </w:r>
      <w:r>
        <w:rPr>
          <w:rFonts w:cs="Arial"/>
        </w:rPr>
        <w:t xml:space="preserve">ent runs 37 applications on </w:t>
      </w:r>
      <w:r w:rsidRPr="004F5E51">
        <w:rPr>
          <w:rFonts w:cs="Arial"/>
        </w:rPr>
        <w:t>virtual server, including DMFAS.</w:t>
      </w:r>
    </w:p>
    <w:p w14:paraId="2BAB9873" w14:textId="77777777" w:rsidR="001900E3" w:rsidRDefault="001900E3" w:rsidP="001900E3">
      <w:pPr>
        <w:rPr>
          <w:rFonts w:cs="Arial"/>
          <w:highlight w:val="yellow"/>
        </w:rPr>
      </w:pPr>
    </w:p>
    <w:p w14:paraId="55583EB9" w14:textId="465DA74D" w:rsidR="001900E3" w:rsidRPr="002C6B7B" w:rsidRDefault="00F36071" w:rsidP="001900E3">
      <w:pPr>
        <w:rPr>
          <w:rFonts w:cs="Arial"/>
        </w:rPr>
      </w:pPr>
      <w:r w:rsidRPr="002C6B7B">
        <w:rPr>
          <w:rFonts w:cs="Arial"/>
        </w:rPr>
        <w:t>T</w:t>
      </w:r>
      <w:r w:rsidR="001900E3" w:rsidRPr="002C6B7B">
        <w:rPr>
          <w:rFonts w:cs="Arial"/>
        </w:rPr>
        <w:t xml:space="preserve">he Ministry have </w:t>
      </w:r>
      <w:r w:rsidRPr="002C6B7B">
        <w:rPr>
          <w:rFonts w:cs="Arial"/>
        </w:rPr>
        <w:t xml:space="preserve">recently established </w:t>
      </w:r>
      <w:r w:rsidR="001900E3" w:rsidRPr="002C6B7B">
        <w:rPr>
          <w:rFonts w:cs="Arial"/>
        </w:rPr>
        <w:t xml:space="preserve">an alternate data center </w:t>
      </w:r>
      <w:r w:rsidRPr="002C6B7B">
        <w:rPr>
          <w:rFonts w:cs="Arial"/>
        </w:rPr>
        <w:t xml:space="preserve">in Dilijan </w:t>
      </w:r>
      <w:r w:rsidR="001900E3" w:rsidRPr="002C6B7B">
        <w:rPr>
          <w:rFonts w:cs="Arial"/>
        </w:rPr>
        <w:t xml:space="preserve">with physical backup servers. </w:t>
      </w:r>
      <w:r w:rsidRPr="002C6B7B">
        <w:rPr>
          <w:rFonts w:cs="Arial"/>
        </w:rPr>
        <w:t xml:space="preserve"> The alternative data center in Dilijan is a mirror server of the MoF server in Yerevan,</w:t>
      </w:r>
      <w:r>
        <w:rPr>
          <w:rFonts w:cs="Arial"/>
        </w:rPr>
        <w:t xml:space="preserve"> </w:t>
      </w:r>
      <w:r w:rsidRPr="002C6B7B">
        <w:rPr>
          <w:rFonts w:cs="Arial"/>
        </w:rPr>
        <w:t xml:space="preserve"> </w:t>
      </w:r>
    </w:p>
    <w:p w14:paraId="356B22CA" w14:textId="77777777" w:rsidR="001900E3" w:rsidRPr="00F36071" w:rsidRDefault="001900E3" w:rsidP="001900E3">
      <w:pPr>
        <w:rPr>
          <w:rFonts w:cs="Arial"/>
        </w:rPr>
      </w:pPr>
    </w:p>
    <w:p w14:paraId="6A226237" w14:textId="77777777" w:rsidR="001900E3" w:rsidRPr="002C6B7B" w:rsidRDefault="001900E3" w:rsidP="001900E3">
      <w:pPr>
        <w:rPr>
          <w:rFonts w:cs="Arial"/>
        </w:rPr>
      </w:pPr>
    </w:p>
    <w:p w14:paraId="441ED915" w14:textId="77777777" w:rsidR="001900E3" w:rsidRDefault="001900E3" w:rsidP="001900E3">
      <w:pPr>
        <w:rPr>
          <w:rFonts w:cs="Arial"/>
          <w:highlight w:val="yellow"/>
        </w:rPr>
      </w:pPr>
      <w:r w:rsidRPr="002C6B7B">
        <w:rPr>
          <w:rFonts w:cs="Arial"/>
        </w:rPr>
        <w:t xml:space="preserve">The MoF does not have an alternate operational site to relocate critical staff and ensure business continuity after a major incident. The MoF </w:t>
      </w:r>
      <w:r w:rsidRPr="00F36071">
        <w:rPr>
          <w:rFonts w:cs="Arial"/>
        </w:rPr>
        <w:t>is also considering using the alternative</w:t>
      </w:r>
      <w:r>
        <w:rPr>
          <w:rFonts w:cs="Arial"/>
        </w:rPr>
        <w:t xml:space="preserve"> data center in Dilijan as an operational recovery site where the PDMD staff could work in the event of a major disruption in the main building.</w:t>
      </w:r>
    </w:p>
    <w:p w14:paraId="49D83DF6" w14:textId="77777777" w:rsidR="001900E3" w:rsidRDefault="001900E3" w:rsidP="001900E3">
      <w:pPr>
        <w:rPr>
          <w:rFonts w:cs="Arial"/>
        </w:rPr>
      </w:pPr>
    </w:p>
    <w:p w14:paraId="6E7AD331" w14:textId="710437A9" w:rsidR="001900E3" w:rsidRPr="004F5E51" w:rsidRDefault="001900E3" w:rsidP="001900E3">
      <w:pPr>
        <w:rPr>
          <w:rFonts w:cs="Arial"/>
        </w:rPr>
      </w:pPr>
      <w:r>
        <w:rPr>
          <w:rFonts w:cs="Arial"/>
        </w:rPr>
        <w:t>This is an indispensable step to reduce current risk exposure to potential systems failures and events preventing staff from working in the MoF premises. This is important for the PDMD and the whole MoF.</w:t>
      </w:r>
    </w:p>
    <w:p w14:paraId="02CB4426" w14:textId="77777777" w:rsidR="001900E3" w:rsidRDefault="001900E3" w:rsidP="001900E3">
      <w:pPr>
        <w:pStyle w:val="NoSpacing"/>
        <w:rPr>
          <w:rFonts w:ascii="Arial" w:hAnsi="Arial" w:cs="Arial"/>
          <w:b/>
          <w:i/>
        </w:rPr>
      </w:pPr>
    </w:p>
    <w:p w14:paraId="7904F376" w14:textId="07CDF20B" w:rsidR="001900E3" w:rsidRPr="00EF6FEC" w:rsidRDefault="001900E3" w:rsidP="001900E3">
      <w:pPr>
        <w:pStyle w:val="NoSpacing"/>
        <w:rPr>
          <w:rFonts w:ascii="Arial" w:hAnsi="Arial" w:cs="Arial"/>
          <w:b/>
          <w:i/>
        </w:rPr>
      </w:pPr>
      <w:r w:rsidRPr="00EF6FEC">
        <w:rPr>
          <w:rFonts w:ascii="Arial" w:hAnsi="Arial" w:cs="Arial"/>
          <w:b/>
          <w:i/>
        </w:rPr>
        <w:t xml:space="preserve">Storage </w:t>
      </w:r>
    </w:p>
    <w:p w14:paraId="4DFCEF07" w14:textId="0703A22C" w:rsidR="001900E3" w:rsidRPr="004F5E51" w:rsidRDefault="001900E3" w:rsidP="001900E3">
      <w:pPr>
        <w:rPr>
          <w:rFonts w:cs="Arial"/>
        </w:rPr>
      </w:pPr>
      <w:r w:rsidRPr="004F5E51">
        <w:rPr>
          <w:rFonts w:cs="Arial"/>
        </w:rPr>
        <w:t xml:space="preserve">To allow PDMD units backing up their files, the IT Department has dedicated a capacity of 2 Terabytes of storage on the virtual server. </w:t>
      </w:r>
      <w:r w:rsidR="00F36071">
        <w:rPr>
          <w:rFonts w:cs="Arial"/>
        </w:rPr>
        <w:t xml:space="preserve">The virtual server in the MoF is used for day-to-day work of the MoF and not designed to store debt database. </w:t>
      </w:r>
      <w:r w:rsidRPr="004F5E51">
        <w:rPr>
          <w:rFonts w:cs="Arial"/>
        </w:rPr>
        <w:t>Thus, PDMD can use the network of the Ministry to do backups of the databases and store them (NAS, network attached storage)</w:t>
      </w:r>
      <w:r w:rsidR="00F36071">
        <w:rPr>
          <w:rFonts w:cs="Arial"/>
        </w:rPr>
        <w:t xml:space="preserve"> through a dedicated server in the MoF which can also be backed up in the alternative data center in Dilijan</w:t>
      </w:r>
      <w:r w:rsidRPr="004F5E51">
        <w:rPr>
          <w:rFonts w:cs="Arial"/>
        </w:rPr>
        <w:t xml:space="preserve">. </w:t>
      </w:r>
    </w:p>
    <w:p w14:paraId="2CFD94E6" w14:textId="77777777" w:rsidR="001900E3" w:rsidRDefault="001900E3" w:rsidP="001900E3">
      <w:pPr>
        <w:rPr>
          <w:rFonts w:cs="Arial"/>
        </w:rPr>
      </w:pPr>
    </w:p>
    <w:p w14:paraId="7B6AAE70" w14:textId="3D3D0775" w:rsidR="001900E3" w:rsidRPr="004F5E51" w:rsidRDefault="00F36071" w:rsidP="001900E3">
      <w:pPr>
        <w:rPr>
          <w:rFonts w:cs="Arial"/>
        </w:rPr>
      </w:pPr>
      <w:r>
        <w:rPr>
          <w:rFonts w:cs="Arial"/>
        </w:rPr>
        <w:t>Currently</w:t>
      </w:r>
      <w:r w:rsidR="001900E3" w:rsidRPr="004F5E51">
        <w:rPr>
          <w:rFonts w:cs="Arial"/>
        </w:rPr>
        <w:t xml:space="preserve"> </w:t>
      </w:r>
      <w:r>
        <w:rPr>
          <w:rFonts w:cs="Arial"/>
        </w:rPr>
        <w:t>t</w:t>
      </w:r>
      <w:r w:rsidRPr="004F5E51">
        <w:rPr>
          <w:rFonts w:cs="Arial"/>
        </w:rPr>
        <w:t xml:space="preserve">he </w:t>
      </w:r>
      <w:r w:rsidR="001900E3" w:rsidRPr="004F5E51">
        <w:rPr>
          <w:rFonts w:cs="Arial"/>
        </w:rPr>
        <w:t xml:space="preserve">IT Department does not provide any staff to perform backups and storage tasks. This </w:t>
      </w:r>
      <w:r w:rsidR="001900E3">
        <w:rPr>
          <w:rFonts w:cs="Arial"/>
        </w:rPr>
        <w:t>must</w:t>
      </w:r>
      <w:r w:rsidR="001900E3" w:rsidRPr="004F5E51">
        <w:rPr>
          <w:rFonts w:cs="Arial"/>
        </w:rPr>
        <w:t xml:space="preserve"> be done by the staff of the PDMD, otherwise there will be no backups. This kind of tasks can be quite time-consuming, especially if PDMD</w:t>
      </w:r>
      <w:r w:rsidR="001900E3">
        <w:rPr>
          <w:rFonts w:cs="Arial"/>
        </w:rPr>
        <w:t xml:space="preserve"> staff</w:t>
      </w:r>
      <w:r w:rsidR="001900E3" w:rsidRPr="004F5E51">
        <w:rPr>
          <w:rFonts w:cs="Arial"/>
        </w:rPr>
        <w:t xml:space="preserve"> wants to perform it daily.</w:t>
      </w:r>
      <w:r w:rsidR="001900E3">
        <w:rPr>
          <w:rFonts w:cs="Arial"/>
        </w:rPr>
        <w:t xml:space="preserve"> Going forward, IT staff should ensure backups are performed </w:t>
      </w:r>
      <w:r>
        <w:rPr>
          <w:rFonts w:cs="Arial"/>
        </w:rPr>
        <w:t>regularly</w:t>
      </w:r>
      <w:r w:rsidR="001900E3">
        <w:rPr>
          <w:rFonts w:cs="Arial"/>
        </w:rPr>
        <w:t>.</w:t>
      </w:r>
    </w:p>
    <w:p w14:paraId="73261E19" w14:textId="77777777" w:rsidR="001900E3" w:rsidRDefault="001900E3" w:rsidP="001900E3">
      <w:pPr>
        <w:pStyle w:val="NoSpacing"/>
        <w:rPr>
          <w:rFonts w:ascii="Arial" w:hAnsi="Arial" w:cs="Arial"/>
          <w:b/>
          <w:i/>
        </w:rPr>
      </w:pPr>
    </w:p>
    <w:p w14:paraId="46B30928" w14:textId="1745FDCB" w:rsidR="001900E3" w:rsidRPr="00EF6FEC" w:rsidRDefault="001900E3" w:rsidP="001900E3">
      <w:pPr>
        <w:pStyle w:val="NoSpacing"/>
        <w:rPr>
          <w:rFonts w:ascii="Arial" w:hAnsi="Arial" w:cs="Arial"/>
          <w:b/>
          <w:i/>
        </w:rPr>
      </w:pPr>
      <w:r w:rsidRPr="00EF6FEC">
        <w:rPr>
          <w:rFonts w:ascii="Arial" w:hAnsi="Arial" w:cs="Arial"/>
          <w:b/>
          <w:i/>
        </w:rPr>
        <w:t>Disruption</w:t>
      </w:r>
    </w:p>
    <w:p w14:paraId="5D7310C8" w14:textId="77777777" w:rsidR="001900E3" w:rsidRPr="004F5E51" w:rsidRDefault="001900E3" w:rsidP="001900E3">
      <w:pPr>
        <w:rPr>
          <w:rFonts w:cs="Arial"/>
        </w:rPr>
      </w:pPr>
      <w:r>
        <w:rPr>
          <w:rFonts w:cs="Arial"/>
        </w:rPr>
        <w:t xml:space="preserve">If a major disruption occurs and </w:t>
      </w:r>
      <w:r w:rsidRPr="004F5E51">
        <w:rPr>
          <w:rFonts w:cs="Arial"/>
        </w:rPr>
        <w:t>prevent</w:t>
      </w:r>
      <w:r>
        <w:rPr>
          <w:rFonts w:cs="Arial"/>
        </w:rPr>
        <w:t xml:space="preserve">s PDMD staff to access </w:t>
      </w:r>
      <w:r w:rsidRPr="004F5E51">
        <w:rPr>
          <w:rFonts w:cs="Arial"/>
        </w:rPr>
        <w:t>the</w:t>
      </w:r>
      <w:r>
        <w:rPr>
          <w:rFonts w:cs="Arial"/>
        </w:rPr>
        <w:t>ir computers</w:t>
      </w:r>
      <w:r w:rsidRPr="004F5E51">
        <w:rPr>
          <w:rFonts w:cs="Arial"/>
        </w:rPr>
        <w:t xml:space="preserve">, it would be very difficult to ensure business continuity because PDMD does not have </w:t>
      </w:r>
      <w:r>
        <w:rPr>
          <w:rFonts w:cs="Arial"/>
        </w:rPr>
        <w:t>any prepare</w:t>
      </w:r>
      <w:r w:rsidRPr="004F5E51">
        <w:rPr>
          <w:rFonts w:cs="Arial"/>
        </w:rPr>
        <w:t xml:space="preserve">d computers in others Ministry’s buildings. Although, theoretically, PDMD staff could connect to the </w:t>
      </w:r>
      <w:r>
        <w:rPr>
          <w:rFonts w:cs="Arial"/>
        </w:rPr>
        <w:t>Ministry’s network</w:t>
      </w:r>
      <w:r w:rsidRPr="004F5E51">
        <w:rPr>
          <w:rFonts w:cs="Arial"/>
        </w:rPr>
        <w:t xml:space="preserve"> and run their activities from another building of the Ministry, in practice it would be very difficult.</w:t>
      </w:r>
    </w:p>
    <w:p w14:paraId="2257ACEA" w14:textId="77777777" w:rsidR="001900E3" w:rsidRPr="006C31E1" w:rsidRDefault="001900E3" w:rsidP="001900E3">
      <w:pPr>
        <w:spacing w:before="120" w:after="240"/>
        <w:rPr>
          <w:rFonts w:cs="Arial"/>
        </w:rPr>
      </w:pPr>
      <w:r w:rsidRPr="006C31E1">
        <w:rPr>
          <w:rFonts w:cs="Arial"/>
        </w:rPr>
        <w:t>The PDMD should request the IT Department to organize a room in the main building of the Ministry (Melik Adamyan) to relocate staff in case of events preventing access to the PDMD’s building (Tigran Mets). This room should be equipped with 2 or 3 computers reserved for PDMD staff, with full access to the Ministry’s network and containing the necessary applications to perform critical processes of the PDMD. These applications have been listed in the BCP in the table of critical systems.</w:t>
      </w:r>
    </w:p>
    <w:p w14:paraId="189141D6" w14:textId="54DECDF7" w:rsidR="001900E3" w:rsidRDefault="001900E3" w:rsidP="001900E3">
      <w:pPr>
        <w:rPr>
          <w:rFonts w:cs="Arial"/>
        </w:rPr>
      </w:pPr>
      <w:r>
        <w:rPr>
          <w:rFonts w:cs="Arial"/>
        </w:rPr>
        <w:t>The</w:t>
      </w:r>
      <w:r w:rsidRPr="004F5E51">
        <w:rPr>
          <w:rFonts w:cs="Arial"/>
        </w:rPr>
        <w:t xml:space="preserve"> </w:t>
      </w:r>
      <w:r>
        <w:rPr>
          <w:rFonts w:cs="Arial"/>
        </w:rPr>
        <w:t>Ministry’s network</w:t>
      </w:r>
      <w:r w:rsidRPr="004F5E51">
        <w:rPr>
          <w:rFonts w:cs="Arial"/>
        </w:rPr>
        <w:t xml:space="preserve"> is not accessible remotely (from outside of the Ministry buildings).</w:t>
      </w:r>
      <w:r>
        <w:rPr>
          <w:rFonts w:cs="Arial"/>
        </w:rPr>
        <w:t xml:space="preserve"> </w:t>
      </w:r>
      <w:r w:rsidR="00D1618C">
        <w:rPr>
          <w:rFonts w:cs="Arial"/>
        </w:rPr>
        <w:t xml:space="preserve">Although </w:t>
      </w:r>
      <w:r>
        <w:rPr>
          <w:rFonts w:cs="Arial"/>
        </w:rPr>
        <w:t>PDMD staff can access their official e-mail accounts from home, or anywhere outside of the MoF buildings</w:t>
      </w:r>
      <w:r w:rsidR="00D1618C">
        <w:rPr>
          <w:rFonts w:cs="Arial"/>
        </w:rPr>
        <w:t xml:space="preserve">, they cannot access Ministry’s network for access to </w:t>
      </w:r>
      <w:r w:rsidR="00CF3899">
        <w:rPr>
          <w:rFonts w:cs="Arial"/>
        </w:rPr>
        <w:t xml:space="preserve">PDMD </w:t>
      </w:r>
      <w:r w:rsidR="00D1618C">
        <w:rPr>
          <w:rFonts w:cs="Arial"/>
        </w:rPr>
        <w:t>documents remotely</w:t>
      </w:r>
      <w:r>
        <w:rPr>
          <w:rFonts w:cs="Arial"/>
        </w:rPr>
        <w:t>.</w:t>
      </w:r>
    </w:p>
    <w:p w14:paraId="17976465" w14:textId="02E9EDB6" w:rsidR="001900E3" w:rsidRPr="006C31E1" w:rsidRDefault="001900E3" w:rsidP="001900E3">
      <w:pPr>
        <w:spacing w:before="120" w:after="240"/>
        <w:rPr>
          <w:rFonts w:cs="Arial"/>
        </w:rPr>
      </w:pPr>
      <w:r w:rsidRPr="006C31E1">
        <w:rPr>
          <w:rFonts w:cs="Arial"/>
        </w:rPr>
        <w:t xml:space="preserve">The IT Department could consider giving a securitized remote access to the Ministry’s network </w:t>
      </w:r>
      <w:r w:rsidR="00F52196">
        <w:rPr>
          <w:rFonts w:cs="Arial"/>
        </w:rPr>
        <w:t xml:space="preserve">for PDMD documents as a “read-only” facility to all </w:t>
      </w:r>
      <w:r w:rsidRPr="006C31E1">
        <w:rPr>
          <w:rFonts w:cs="Arial"/>
        </w:rPr>
        <w:t xml:space="preserve"> staff of the PDMD. </w:t>
      </w:r>
      <w:r w:rsidR="00F52196">
        <w:rPr>
          <w:rFonts w:cs="Arial"/>
        </w:rPr>
        <w:t>PDMD</w:t>
      </w:r>
      <w:r w:rsidR="00F52196" w:rsidRPr="006C31E1">
        <w:rPr>
          <w:rFonts w:cs="Arial"/>
        </w:rPr>
        <w:t xml:space="preserve"> </w:t>
      </w:r>
      <w:r w:rsidRPr="006C31E1">
        <w:rPr>
          <w:rFonts w:cs="Arial"/>
        </w:rPr>
        <w:t>staff could use this remote access in case of contingencies</w:t>
      </w:r>
      <w:r w:rsidR="00F52196">
        <w:rPr>
          <w:rFonts w:cs="Arial"/>
        </w:rPr>
        <w:t xml:space="preserve"> </w:t>
      </w:r>
      <w:r w:rsidRPr="006C31E1">
        <w:rPr>
          <w:rFonts w:cs="Arial"/>
        </w:rPr>
        <w:t>and work from home afterhours.</w:t>
      </w:r>
    </w:p>
    <w:p w14:paraId="25F32C44" w14:textId="77777777" w:rsidR="001900E3" w:rsidRPr="006C2792" w:rsidRDefault="001900E3" w:rsidP="001900E3">
      <w:pPr>
        <w:rPr>
          <w:rFonts w:cs="Arial"/>
        </w:rPr>
      </w:pPr>
    </w:p>
    <w:p w14:paraId="7CF601AB" w14:textId="77777777" w:rsidR="001900E3" w:rsidRPr="001212DF" w:rsidRDefault="001900E3" w:rsidP="00201A59">
      <w:pPr>
        <w:pStyle w:val="Heading2"/>
        <w:numPr>
          <w:ilvl w:val="1"/>
          <w:numId w:val="10"/>
        </w:numPr>
        <w:spacing w:line="259" w:lineRule="auto"/>
      </w:pPr>
      <w:bookmarkStart w:id="13" w:name="_Toc523327591"/>
      <w:r>
        <w:t>Missing mitigation measures in the current BCP</w:t>
      </w:r>
      <w:bookmarkEnd w:id="13"/>
    </w:p>
    <w:p w14:paraId="5A9ADEDA" w14:textId="77777777" w:rsidR="001900E3" w:rsidRDefault="001900E3" w:rsidP="001900E3">
      <w:pPr>
        <w:rPr>
          <w:rFonts w:cs="Arial"/>
        </w:rPr>
      </w:pPr>
    </w:p>
    <w:p w14:paraId="04AAFC94" w14:textId="185D9E9E" w:rsidR="001900E3" w:rsidRPr="001212DF" w:rsidRDefault="001900E3" w:rsidP="001900E3">
      <w:pPr>
        <w:rPr>
          <w:rFonts w:cs="Arial"/>
        </w:rPr>
      </w:pPr>
      <w:r w:rsidRPr="001212DF">
        <w:rPr>
          <w:rFonts w:cs="Arial"/>
        </w:rPr>
        <w:t>PDMD has put in place a series of operational risk mitigation measures in recent years and during the technical assistance provided by the EU. However, additional mitigation measures could be implemented. This section lists missing standard mitigation measures for the following risk category:</w:t>
      </w:r>
    </w:p>
    <w:p w14:paraId="57526FC3" w14:textId="77777777" w:rsidR="001900E3" w:rsidRDefault="001900E3" w:rsidP="001900E3">
      <w:pPr>
        <w:rPr>
          <w:rFonts w:cs="Arial"/>
          <w:b/>
        </w:rPr>
      </w:pPr>
    </w:p>
    <w:p w14:paraId="2EA86C32" w14:textId="026427AB" w:rsidR="001900E3" w:rsidRPr="001212DF" w:rsidRDefault="001900E3" w:rsidP="001900E3">
      <w:pPr>
        <w:rPr>
          <w:rFonts w:cs="Arial"/>
          <w:b/>
        </w:rPr>
      </w:pPr>
      <w:r w:rsidRPr="001212DF">
        <w:rPr>
          <w:rFonts w:cs="Arial"/>
          <w:b/>
        </w:rPr>
        <w:t>Lack of policy guidance</w:t>
      </w:r>
    </w:p>
    <w:p w14:paraId="0E4B7702" w14:textId="294501F4" w:rsidR="001900E3" w:rsidRPr="001212DF" w:rsidRDefault="00777768" w:rsidP="00201A59">
      <w:pPr>
        <w:pStyle w:val="ListParagraph"/>
        <w:numPr>
          <w:ilvl w:val="0"/>
          <w:numId w:val="11"/>
        </w:numPr>
        <w:spacing w:after="160" w:line="259" w:lineRule="auto"/>
        <w:rPr>
          <w:rFonts w:cs="Arial"/>
        </w:rPr>
      </w:pPr>
      <w:r>
        <w:rPr>
          <w:rFonts w:cs="Arial"/>
        </w:rPr>
        <w:t>P</w:t>
      </w:r>
      <w:r w:rsidR="001900E3" w:rsidRPr="001212DF">
        <w:rPr>
          <w:rFonts w:cs="Arial"/>
        </w:rPr>
        <w:t>olicy guidance to save and store electronic files</w:t>
      </w:r>
      <w:r w:rsidR="005344AC">
        <w:rPr>
          <w:rFonts w:cs="Arial"/>
        </w:rPr>
        <w:t xml:space="preserve"> within PDMD</w:t>
      </w:r>
      <w:r>
        <w:rPr>
          <w:rFonts w:cs="Arial"/>
        </w:rPr>
        <w:t xml:space="preserve"> in the MoF server</w:t>
      </w:r>
      <w:r w:rsidR="001900E3" w:rsidRPr="001212DF">
        <w:rPr>
          <w:rFonts w:cs="Arial"/>
        </w:rPr>
        <w:t xml:space="preserve">. The MoF has a shared drive where the users can save their files, but </w:t>
      </w:r>
      <w:r w:rsidR="001900E3">
        <w:rPr>
          <w:rFonts w:cs="Arial"/>
        </w:rPr>
        <w:t>there are no written</w:t>
      </w:r>
      <w:r w:rsidR="001900E3" w:rsidRPr="001212DF">
        <w:rPr>
          <w:rFonts w:cs="Arial"/>
        </w:rPr>
        <w:t xml:space="preserve"> guidelines </w:t>
      </w:r>
      <w:r>
        <w:rPr>
          <w:rFonts w:cs="Arial"/>
        </w:rPr>
        <w:t xml:space="preserve">for PDMD </w:t>
      </w:r>
      <w:r w:rsidR="001900E3" w:rsidRPr="001212DF">
        <w:rPr>
          <w:rFonts w:cs="Arial"/>
        </w:rPr>
        <w:t>on when and how to use it</w:t>
      </w:r>
      <w:r>
        <w:rPr>
          <w:rFonts w:cs="Arial"/>
        </w:rPr>
        <w:t xml:space="preserve"> in terms of the documents stored as well as who could have access to them</w:t>
      </w:r>
      <w:r w:rsidR="001900E3" w:rsidRPr="001212DF">
        <w:rPr>
          <w:rFonts w:cs="Arial"/>
        </w:rPr>
        <w:t xml:space="preserve">. </w:t>
      </w:r>
    </w:p>
    <w:p w14:paraId="00214E17" w14:textId="77777777" w:rsidR="001900E3" w:rsidRPr="001212DF" w:rsidRDefault="001900E3" w:rsidP="00201A59">
      <w:pPr>
        <w:pStyle w:val="ListParagraph"/>
        <w:numPr>
          <w:ilvl w:val="0"/>
          <w:numId w:val="11"/>
        </w:numPr>
        <w:spacing w:after="160" w:line="259" w:lineRule="auto"/>
        <w:rPr>
          <w:rFonts w:cs="Arial"/>
        </w:rPr>
      </w:pPr>
      <w:r w:rsidRPr="001212DF">
        <w:rPr>
          <w:rFonts w:cs="Arial"/>
        </w:rPr>
        <w:t xml:space="preserve">IT </w:t>
      </w:r>
      <w:r>
        <w:rPr>
          <w:rFonts w:cs="Arial"/>
        </w:rPr>
        <w:t xml:space="preserve">Department did not provide </w:t>
      </w:r>
      <w:r w:rsidRPr="001212DF">
        <w:rPr>
          <w:rFonts w:cs="Arial"/>
        </w:rPr>
        <w:t>a</w:t>
      </w:r>
      <w:r>
        <w:rPr>
          <w:rFonts w:cs="Arial"/>
        </w:rPr>
        <w:t>ny</w:t>
      </w:r>
      <w:r w:rsidRPr="001212DF">
        <w:rPr>
          <w:rFonts w:cs="Arial"/>
        </w:rPr>
        <w:t xml:space="preserve"> written policy for the security of the sh</w:t>
      </w:r>
      <w:r>
        <w:rPr>
          <w:rFonts w:cs="Arial"/>
        </w:rPr>
        <w:t>ared drive of the Ministry. Such policy could explain</w:t>
      </w:r>
      <w:r w:rsidRPr="001212DF">
        <w:rPr>
          <w:rFonts w:cs="Arial"/>
        </w:rPr>
        <w:t xml:space="preserve"> the frequency of backups, which folders are backed up, who has restricted access to which folders, etc.</w:t>
      </w:r>
    </w:p>
    <w:p w14:paraId="18BD6AFA" w14:textId="77777777" w:rsidR="001900E3" w:rsidRDefault="001900E3" w:rsidP="00201A59">
      <w:pPr>
        <w:pStyle w:val="ListParagraph"/>
        <w:numPr>
          <w:ilvl w:val="0"/>
          <w:numId w:val="11"/>
        </w:numPr>
        <w:spacing w:after="160" w:line="259" w:lineRule="auto"/>
        <w:rPr>
          <w:rFonts w:cs="Arial"/>
        </w:rPr>
      </w:pPr>
      <w:r w:rsidRPr="001212DF">
        <w:rPr>
          <w:rFonts w:cs="Arial"/>
        </w:rPr>
        <w:t xml:space="preserve">There is no report on the performance of the staff, because there are no clear indicators to measure staff performance. For instance, one could implement an indicator showing </w:t>
      </w:r>
      <w:r>
        <w:rPr>
          <w:rFonts w:cs="Arial"/>
        </w:rPr>
        <w:t>if staff are recording</w:t>
      </w:r>
      <w:r w:rsidRPr="001212DF">
        <w:rPr>
          <w:rFonts w:cs="Arial"/>
        </w:rPr>
        <w:t xml:space="preserve"> on time </w:t>
      </w:r>
      <w:r>
        <w:rPr>
          <w:rFonts w:cs="Arial"/>
        </w:rPr>
        <w:t>debt operations in the database</w:t>
      </w:r>
      <w:r w:rsidRPr="001212DF">
        <w:rPr>
          <w:rFonts w:cs="Arial"/>
        </w:rPr>
        <w:t>.</w:t>
      </w:r>
    </w:p>
    <w:p w14:paraId="35BDA927" w14:textId="77777777" w:rsidR="001900E3" w:rsidRPr="001212DF" w:rsidRDefault="001900E3" w:rsidP="00201A59">
      <w:pPr>
        <w:pStyle w:val="ListParagraph"/>
        <w:numPr>
          <w:ilvl w:val="0"/>
          <w:numId w:val="11"/>
        </w:numPr>
        <w:spacing w:after="160" w:line="259" w:lineRule="auto"/>
        <w:rPr>
          <w:rFonts w:cs="Arial"/>
        </w:rPr>
      </w:pPr>
      <w:r>
        <w:rPr>
          <w:rFonts w:cs="Arial"/>
        </w:rPr>
        <w:t>PDMD and IT Department could coordinate to prepare written guidelines to save electronic documents, use properly the shared drive of the Ministry and ensure files security. IT Department could organize a training on this topic for the employees of the MoF.</w:t>
      </w:r>
    </w:p>
    <w:p w14:paraId="480F0515" w14:textId="77777777" w:rsidR="001900E3" w:rsidRPr="001212DF" w:rsidRDefault="001900E3" w:rsidP="001900E3">
      <w:pPr>
        <w:rPr>
          <w:rFonts w:cs="Arial"/>
          <w:b/>
        </w:rPr>
      </w:pPr>
      <w:r w:rsidRPr="001212DF">
        <w:rPr>
          <w:rFonts w:cs="Arial"/>
          <w:b/>
        </w:rPr>
        <w:t>Key staff risk</w:t>
      </w:r>
    </w:p>
    <w:p w14:paraId="0342C05D" w14:textId="77777777" w:rsidR="001900E3" w:rsidRPr="006C31E1" w:rsidRDefault="001900E3" w:rsidP="00201A59">
      <w:pPr>
        <w:pStyle w:val="ListParagraph"/>
        <w:numPr>
          <w:ilvl w:val="0"/>
          <w:numId w:val="11"/>
        </w:numPr>
        <w:spacing w:after="160" w:line="259" w:lineRule="auto"/>
        <w:rPr>
          <w:rFonts w:cs="Arial"/>
        </w:rPr>
      </w:pPr>
      <w:r w:rsidRPr="002C6B7B">
        <w:rPr>
          <w:rFonts w:cs="Arial"/>
        </w:rPr>
        <w:lastRenderedPageBreak/>
        <w:t>There is generally no handover period between the staff leaving the PDMD and the newcomer.</w:t>
      </w:r>
    </w:p>
    <w:p w14:paraId="32DA5912" w14:textId="77777777" w:rsidR="001900E3" w:rsidRPr="001212DF" w:rsidRDefault="001900E3" w:rsidP="00201A59">
      <w:pPr>
        <w:pStyle w:val="ListParagraph"/>
        <w:numPr>
          <w:ilvl w:val="0"/>
          <w:numId w:val="11"/>
        </w:numPr>
        <w:spacing w:after="160" w:line="259" w:lineRule="auto"/>
        <w:rPr>
          <w:rFonts w:cs="Arial"/>
        </w:rPr>
      </w:pPr>
      <w:r>
        <w:rPr>
          <w:rFonts w:cs="Arial"/>
        </w:rPr>
        <w:t>However</w:t>
      </w:r>
      <w:r w:rsidRPr="001212DF">
        <w:rPr>
          <w:rFonts w:cs="Arial"/>
        </w:rPr>
        <w:t xml:space="preserve">, there is a low </w:t>
      </w:r>
      <w:r>
        <w:rPr>
          <w:rFonts w:cs="Arial"/>
        </w:rPr>
        <w:t xml:space="preserve">staff turnover </w:t>
      </w:r>
      <w:r w:rsidRPr="001212DF">
        <w:rPr>
          <w:rFonts w:cs="Arial"/>
        </w:rPr>
        <w:t>and head of units are experi</w:t>
      </w:r>
      <w:r>
        <w:rPr>
          <w:rFonts w:cs="Arial"/>
        </w:rPr>
        <w:t>enced. Most of them are working in the MoF since several years.</w:t>
      </w:r>
    </w:p>
    <w:p w14:paraId="0D6DDFA7" w14:textId="77777777" w:rsidR="001900E3" w:rsidRPr="00F36071" w:rsidRDefault="001900E3" w:rsidP="001900E3">
      <w:pPr>
        <w:rPr>
          <w:rFonts w:cs="Arial"/>
          <w:b/>
        </w:rPr>
      </w:pPr>
      <w:r w:rsidRPr="00F36071">
        <w:rPr>
          <w:rFonts w:cs="Arial"/>
          <w:b/>
        </w:rPr>
        <w:t>Absence of training or inadequate supervision</w:t>
      </w:r>
    </w:p>
    <w:p w14:paraId="4B29B101" w14:textId="77777777" w:rsidR="001900E3" w:rsidRPr="002C6B7B" w:rsidRDefault="001900E3" w:rsidP="00201A59">
      <w:pPr>
        <w:pStyle w:val="ListParagraph"/>
        <w:numPr>
          <w:ilvl w:val="0"/>
          <w:numId w:val="11"/>
        </w:numPr>
        <w:spacing w:after="160" w:line="259" w:lineRule="auto"/>
        <w:rPr>
          <w:rFonts w:cs="Arial"/>
          <w:b/>
        </w:rPr>
      </w:pPr>
      <w:r w:rsidRPr="002C6B7B">
        <w:rPr>
          <w:rFonts w:cs="Arial"/>
        </w:rPr>
        <w:t>Lack of individual training plans and personal development plans</w:t>
      </w:r>
    </w:p>
    <w:p w14:paraId="19785B11" w14:textId="77777777" w:rsidR="001900E3" w:rsidRPr="002C6B7B" w:rsidRDefault="001900E3" w:rsidP="00201A59">
      <w:pPr>
        <w:pStyle w:val="ListParagraph"/>
        <w:numPr>
          <w:ilvl w:val="0"/>
          <w:numId w:val="11"/>
        </w:numPr>
        <w:spacing w:after="160" w:line="259" w:lineRule="auto"/>
        <w:rPr>
          <w:rFonts w:cs="Arial"/>
          <w:b/>
        </w:rPr>
      </w:pPr>
      <w:r w:rsidRPr="002C6B7B">
        <w:rPr>
          <w:rFonts w:cs="Arial"/>
        </w:rPr>
        <w:t>Head of units are not participating to any training on managing resources.</w:t>
      </w:r>
    </w:p>
    <w:p w14:paraId="74F71479" w14:textId="4B135FAC" w:rsidR="001900E3" w:rsidRPr="002C6B7B" w:rsidRDefault="00777768" w:rsidP="00201A59">
      <w:pPr>
        <w:pStyle w:val="ListParagraph"/>
        <w:numPr>
          <w:ilvl w:val="0"/>
          <w:numId w:val="11"/>
        </w:numPr>
        <w:spacing w:before="120" w:after="240" w:line="259" w:lineRule="auto"/>
        <w:contextualSpacing w:val="0"/>
        <w:rPr>
          <w:rFonts w:cs="Arial"/>
          <w:b/>
        </w:rPr>
      </w:pPr>
      <w:r w:rsidRPr="00F36071">
        <w:rPr>
          <w:rFonts w:cs="Arial"/>
        </w:rPr>
        <w:t>Based on the existing semi</w:t>
      </w:r>
      <w:r w:rsidR="001900E3" w:rsidRPr="00F36071">
        <w:rPr>
          <w:rFonts w:cs="Arial"/>
        </w:rPr>
        <w:t xml:space="preserve">-annual appraisal </w:t>
      </w:r>
      <w:r w:rsidRPr="00F36071">
        <w:rPr>
          <w:rFonts w:cs="Arial"/>
        </w:rPr>
        <w:t xml:space="preserve">taking place in PDMD, an annual </w:t>
      </w:r>
      <w:r w:rsidR="001900E3" w:rsidRPr="000F2988">
        <w:rPr>
          <w:rFonts w:cs="Arial"/>
        </w:rPr>
        <w:t>training and development plan</w:t>
      </w:r>
      <w:r w:rsidRPr="004F69FE">
        <w:rPr>
          <w:rFonts w:cs="Arial"/>
        </w:rPr>
        <w:t xml:space="preserve"> can be prepared for each staff in consultation with them</w:t>
      </w:r>
      <w:r w:rsidR="001900E3" w:rsidRPr="004F69FE">
        <w:rPr>
          <w:rFonts w:cs="Arial"/>
        </w:rPr>
        <w:t xml:space="preserve">. </w:t>
      </w:r>
    </w:p>
    <w:p w14:paraId="45D95321" w14:textId="77777777" w:rsidR="001900E3" w:rsidRPr="001212DF" w:rsidRDefault="001900E3" w:rsidP="001900E3">
      <w:pPr>
        <w:rPr>
          <w:rFonts w:cs="Arial"/>
        </w:rPr>
      </w:pPr>
    </w:p>
    <w:p w14:paraId="3D56E57E" w14:textId="77777777" w:rsidR="001900E3" w:rsidRPr="001212DF" w:rsidRDefault="001900E3" w:rsidP="001900E3">
      <w:pPr>
        <w:rPr>
          <w:rFonts w:cs="Arial"/>
          <w:b/>
        </w:rPr>
      </w:pPr>
      <w:r w:rsidRPr="001212DF">
        <w:rPr>
          <w:rFonts w:cs="Arial"/>
          <w:b/>
        </w:rPr>
        <w:t>Data Corruption and inadequate data security</w:t>
      </w:r>
    </w:p>
    <w:p w14:paraId="49AED7B5" w14:textId="77777777" w:rsidR="001900E3" w:rsidRPr="001212DF" w:rsidRDefault="001900E3" w:rsidP="00201A59">
      <w:pPr>
        <w:pStyle w:val="ListParagraph"/>
        <w:numPr>
          <w:ilvl w:val="0"/>
          <w:numId w:val="11"/>
        </w:numPr>
        <w:spacing w:after="160" w:line="259" w:lineRule="auto"/>
        <w:rPr>
          <w:rFonts w:cs="Arial"/>
          <w:b/>
        </w:rPr>
      </w:pPr>
      <w:r w:rsidRPr="001212DF">
        <w:rPr>
          <w:rFonts w:cs="Arial"/>
        </w:rPr>
        <w:t>Ministry does not allow a cloud backup solution</w:t>
      </w:r>
    </w:p>
    <w:p w14:paraId="539618CA" w14:textId="77777777" w:rsidR="001900E3" w:rsidRPr="001212DF" w:rsidRDefault="001900E3" w:rsidP="00201A59">
      <w:pPr>
        <w:pStyle w:val="ListParagraph"/>
        <w:numPr>
          <w:ilvl w:val="0"/>
          <w:numId w:val="11"/>
        </w:numPr>
        <w:spacing w:after="160" w:line="259" w:lineRule="auto"/>
        <w:rPr>
          <w:rFonts w:cs="Arial"/>
          <w:b/>
        </w:rPr>
      </w:pPr>
      <w:r w:rsidRPr="001212DF">
        <w:rPr>
          <w:rFonts w:cs="Arial"/>
        </w:rPr>
        <w:t>IT Departmen</w:t>
      </w:r>
      <w:r>
        <w:rPr>
          <w:rFonts w:cs="Arial"/>
        </w:rPr>
        <w:t>t does not train staff to use the</w:t>
      </w:r>
      <w:r w:rsidRPr="001212DF">
        <w:rPr>
          <w:rFonts w:cs="Arial"/>
        </w:rPr>
        <w:t xml:space="preserve"> shared drive</w:t>
      </w:r>
    </w:p>
    <w:p w14:paraId="4041D5A6" w14:textId="77777777" w:rsidR="001900E3" w:rsidRPr="001212DF" w:rsidRDefault="001900E3" w:rsidP="001900E3">
      <w:pPr>
        <w:rPr>
          <w:rFonts w:cs="Arial"/>
          <w:b/>
        </w:rPr>
      </w:pPr>
      <w:r w:rsidRPr="001212DF">
        <w:rPr>
          <w:rFonts w:cs="Arial"/>
          <w:b/>
        </w:rPr>
        <w:t>Hardware/Software failures</w:t>
      </w:r>
    </w:p>
    <w:p w14:paraId="38AE1A18" w14:textId="77777777" w:rsidR="001900E3" w:rsidRPr="001212DF" w:rsidRDefault="001900E3" w:rsidP="00201A59">
      <w:pPr>
        <w:pStyle w:val="ListParagraph"/>
        <w:numPr>
          <w:ilvl w:val="0"/>
          <w:numId w:val="11"/>
        </w:numPr>
        <w:spacing w:after="160" w:line="259" w:lineRule="auto"/>
        <w:rPr>
          <w:rFonts w:cs="Arial"/>
        </w:rPr>
      </w:pPr>
      <w:r w:rsidRPr="001212DF">
        <w:rPr>
          <w:rFonts w:cs="Arial"/>
        </w:rPr>
        <w:t>No alternate data center for servers</w:t>
      </w:r>
    </w:p>
    <w:p w14:paraId="0A2BEDED" w14:textId="77777777" w:rsidR="001900E3" w:rsidRPr="001212DF" w:rsidRDefault="001900E3" w:rsidP="00201A59">
      <w:pPr>
        <w:pStyle w:val="ListParagraph"/>
        <w:numPr>
          <w:ilvl w:val="0"/>
          <w:numId w:val="11"/>
        </w:numPr>
        <w:spacing w:after="160" w:line="259" w:lineRule="auto"/>
        <w:rPr>
          <w:rFonts w:cs="Arial"/>
        </w:rPr>
      </w:pPr>
      <w:r w:rsidRPr="001212DF">
        <w:rPr>
          <w:rFonts w:cs="Arial"/>
        </w:rPr>
        <w:t>No registry of incidents. If the staff calls IT department, the incident is not log</w:t>
      </w:r>
      <w:r>
        <w:rPr>
          <w:rFonts w:cs="Arial"/>
        </w:rPr>
        <w:t>ged</w:t>
      </w:r>
      <w:r w:rsidRPr="001212DF">
        <w:rPr>
          <w:rFonts w:cs="Arial"/>
        </w:rPr>
        <w:t xml:space="preserve">, there is no number associated with the incident to monitor it. </w:t>
      </w:r>
    </w:p>
    <w:p w14:paraId="52536374" w14:textId="77777777" w:rsidR="001900E3" w:rsidRDefault="001900E3" w:rsidP="00201A59">
      <w:pPr>
        <w:pStyle w:val="ListParagraph"/>
        <w:numPr>
          <w:ilvl w:val="0"/>
          <w:numId w:val="11"/>
        </w:numPr>
        <w:spacing w:after="160" w:line="259" w:lineRule="auto"/>
        <w:rPr>
          <w:rFonts w:cs="Arial"/>
        </w:rPr>
      </w:pPr>
      <w:r w:rsidRPr="001212DF">
        <w:rPr>
          <w:rFonts w:cs="Arial"/>
        </w:rPr>
        <w:t>There is no IT helpdesk to answer Ministry’s staff</w:t>
      </w:r>
      <w:r>
        <w:rPr>
          <w:rFonts w:cs="Arial"/>
        </w:rPr>
        <w:t xml:space="preserve"> requests.</w:t>
      </w:r>
    </w:p>
    <w:p w14:paraId="641B487B" w14:textId="77777777" w:rsidR="001900E3" w:rsidRPr="001212DF" w:rsidRDefault="001900E3" w:rsidP="00201A59">
      <w:pPr>
        <w:pStyle w:val="ListParagraph"/>
        <w:numPr>
          <w:ilvl w:val="0"/>
          <w:numId w:val="11"/>
        </w:numPr>
        <w:spacing w:after="160" w:line="259" w:lineRule="auto"/>
        <w:rPr>
          <w:rFonts w:cs="Arial"/>
        </w:rPr>
      </w:pPr>
      <w:r w:rsidRPr="003A7B27">
        <w:rPr>
          <w:rFonts w:cs="Arial"/>
        </w:rPr>
        <w:t>IT Department could consider establishing an IT help desk to register and follow up all the incidents of the Ministry of Finance. This would improve IT Department time of response and the prioritization of intervention.</w:t>
      </w:r>
    </w:p>
    <w:p w14:paraId="05B893BE" w14:textId="77777777" w:rsidR="001900E3" w:rsidRPr="001212DF" w:rsidRDefault="001900E3" w:rsidP="001900E3">
      <w:pPr>
        <w:rPr>
          <w:rFonts w:cs="Arial"/>
          <w:b/>
        </w:rPr>
      </w:pPr>
      <w:r>
        <w:rPr>
          <w:rFonts w:cs="Arial"/>
          <w:b/>
        </w:rPr>
        <w:t>Telecommunication</w:t>
      </w:r>
      <w:r w:rsidRPr="001212DF">
        <w:rPr>
          <w:rFonts w:cs="Arial"/>
          <w:b/>
        </w:rPr>
        <w:t xml:space="preserve"> failures</w:t>
      </w:r>
    </w:p>
    <w:p w14:paraId="15089992" w14:textId="77777777" w:rsidR="001900E3" w:rsidRDefault="001900E3" w:rsidP="00201A59">
      <w:pPr>
        <w:pStyle w:val="ListParagraph"/>
        <w:numPr>
          <w:ilvl w:val="0"/>
          <w:numId w:val="11"/>
        </w:numPr>
        <w:spacing w:after="160" w:line="259" w:lineRule="auto"/>
        <w:rPr>
          <w:rFonts w:cs="Arial"/>
        </w:rPr>
      </w:pPr>
      <w:r w:rsidRPr="001212DF">
        <w:rPr>
          <w:rFonts w:cs="Arial"/>
        </w:rPr>
        <w:t>Only one communication outside of the building of the PDMD. One single line for p</w:t>
      </w:r>
      <w:r>
        <w:rPr>
          <w:rFonts w:cs="Arial"/>
        </w:rPr>
        <w:t>hones, Internet and Ministry’s n</w:t>
      </w:r>
      <w:r w:rsidRPr="001212DF">
        <w:rPr>
          <w:rFonts w:cs="Arial"/>
        </w:rPr>
        <w:t>etwork.</w:t>
      </w:r>
    </w:p>
    <w:p w14:paraId="05F83CB3" w14:textId="77777777" w:rsidR="001900E3" w:rsidRPr="001212DF" w:rsidRDefault="001900E3" w:rsidP="00201A59">
      <w:pPr>
        <w:pStyle w:val="ListParagraph"/>
        <w:numPr>
          <w:ilvl w:val="0"/>
          <w:numId w:val="11"/>
        </w:numPr>
        <w:spacing w:after="160" w:line="259" w:lineRule="auto"/>
        <w:rPr>
          <w:rFonts w:cs="Arial"/>
        </w:rPr>
      </w:pPr>
      <w:r>
        <w:rPr>
          <w:rFonts w:cs="Arial"/>
        </w:rPr>
        <w:t>A second communication line (backup line) could be installed between the Tigran Mets building and the Melik Adamyan building. This line allows connection to the Ministry’s network, telephones and Internet access. However, i</w:t>
      </w:r>
      <w:r w:rsidRPr="00416228">
        <w:rPr>
          <w:rFonts w:cs="Arial"/>
        </w:rPr>
        <w:t>n the long run, the MoF will need to implement a double redundancy by having a second line directly connected to an alternate data center, and close the triangle with a connection between the alternate data center and the main building.</w:t>
      </w:r>
    </w:p>
    <w:p w14:paraId="1F3D5D85" w14:textId="77777777" w:rsidR="001900E3" w:rsidRPr="001212DF" w:rsidRDefault="001900E3" w:rsidP="001900E3">
      <w:pPr>
        <w:rPr>
          <w:rFonts w:cs="Arial"/>
          <w:b/>
        </w:rPr>
      </w:pPr>
      <w:r w:rsidRPr="001212DF">
        <w:rPr>
          <w:rFonts w:cs="Arial"/>
          <w:b/>
        </w:rPr>
        <w:t>Infrastructure and Document storage deficiencies</w:t>
      </w:r>
    </w:p>
    <w:p w14:paraId="10397D87" w14:textId="3895CB1B" w:rsidR="001900E3" w:rsidRPr="001212DF" w:rsidRDefault="001900E3" w:rsidP="00201A59">
      <w:pPr>
        <w:pStyle w:val="ListParagraph"/>
        <w:numPr>
          <w:ilvl w:val="0"/>
          <w:numId w:val="11"/>
        </w:numPr>
        <w:spacing w:after="160" w:line="259" w:lineRule="auto"/>
        <w:rPr>
          <w:rFonts w:cs="Arial"/>
        </w:rPr>
      </w:pPr>
      <w:r>
        <w:rPr>
          <w:rFonts w:cs="Arial"/>
        </w:rPr>
        <w:t>Debt administration documents</w:t>
      </w:r>
      <w:r w:rsidRPr="001212DF">
        <w:rPr>
          <w:rFonts w:cs="Arial"/>
        </w:rPr>
        <w:t xml:space="preserve"> (i.e. withdrawals applications, Eurobonds issuance </w:t>
      </w:r>
      <w:r w:rsidR="009D5B5C">
        <w:rPr>
          <w:rFonts w:cs="Arial"/>
        </w:rPr>
        <w:t xml:space="preserve">and debt service </w:t>
      </w:r>
      <w:r w:rsidRPr="001212DF">
        <w:rPr>
          <w:rFonts w:cs="Arial"/>
        </w:rPr>
        <w:t>supporting documents) are stored in closed lockers, but not in a secured firepr</w:t>
      </w:r>
      <w:r>
        <w:rPr>
          <w:rFonts w:cs="Arial"/>
        </w:rPr>
        <w:t>oofed room</w:t>
      </w:r>
      <w:r w:rsidRPr="001212DF">
        <w:rPr>
          <w:rFonts w:cs="Arial"/>
        </w:rPr>
        <w:t>.</w:t>
      </w:r>
      <w:r w:rsidR="009D5B5C">
        <w:rPr>
          <w:rFonts w:cs="Arial"/>
        </w:rPr>
        <w:t xml:space="preserve"> There is a need to store these documents in a fireproof and secured lockers and also retain scanned copies of them in electronic format.</w:t>
      </w:r>
    </w:p>
    <w:p w14:paraId="08915F17" w14:textId="77777777" w:rsidR="001900E3" w:rsidRPr="001212DF" w:rsidRDefault="001900E3" w:rsidP="00201A59">
      <w:pPr>
        <w:pStyle w:val="ListParagraph"/>
        <w:numPr>
          <w:ilvl w:val="0"/>
          <w:numId w:val="11"/>
        </w:numPr>
        <w:spacing w:after="160" w:line="259" w:lineRule="auto"/>
        <w:rPr>
          <w:rFonts w:cs="Arial"/>
        </w:rPr>
      </w:pPr>
      <w:r w:rsidRPr="001212DF">
        <w:rPr>
          <w:rFonts w:cs="Arial"/>
        </w:rPr>
        <w:t>There is no clear policy</w:t>
      </w:r>
      <w:r>
        <w:rPr>
          <w:rFonts w:cs="Arial"/>
        </w:rPr>
        <w:t xml:space="preserve"> defining</w:t>
      </w:r>
      <w:r w:rsidRPr="001212DF">
        <w:rPr>
          <w:rFonts w:cs="Arial"/>
        </w:rPr>
        <w:t xml:space="preserve"> who must acknowledge the </w:t>
      </w:r>
      <w:r>
        <w:rPr>
          <w:rFonts w:cs="Arial"/>
        </w:rPr>
        <w:t>receipt</w:t>
      </w:r>
      <w:r w:rsidRPr="001212DF">
        <w:rPr>
          <w:rFonts w:cs="Arial"/>
        </w:rPr>
        <w:t xml:space="preserve"> of </w:t>
      </w:r>
      <w:r>
        <w:rPr>
          <w:rFonts w:cs="Arial"/>
        </w:rPr>
        <w:t>debt administration documents, recording of t</w:t>
      </w:r>
      <w:r w:rsidRPr="001212DF">
        <w:rPr>
          <w:rFonts w:cs="Arial"/>
        </w:rPr>
        <w:t xml:space="preserve">he date of </w:t>
      </w:r>
      <w:r>
        <w:rPr>
          <w:rFonts w:cs="Arial"/>
        </w:rPr>
        <w:t xml:space="preserve">receipt </w:t>
      </w:r>
      <w:r w:rsidRPr="001212DF">
        <w:rPr>
          <w:rFonts w:cs="Arial"/>
        </w:rPr>
        <w:t xml:space="preserve">and </w:t>
      </w:r>
      <w:r>
        <w:rPr>
          <w:rFonts w:cs="Arial"/>
        </w:rPr>
        <w:t xml:space="preserve">who is responsible to scan </w:t>
      </w:r>
      <w:r w:rsidRPr="001212DF">
        <w:rPr>
          <w:rFonts w:cs="Arial"/>
        </w:rPr>
        <w:t>document</w:t>
      </w:r>
      <w:r>
        <w:rPr>
          <w:rFonts w:cs="Arial"/>
        </w:rPr>
        <w:t>s before sending them</w:t>
      </w:r>
      <w:r w:rsidRPr="001212DF">
        <w:rPr>
          <w:rFonts w:cs="Arial"/>
        </w:rPr>
        <w:t xml:space="preserve"> to the other units.</w:t>
      </w:r>
    </w:p>
    <w:p w14:paraId="4BF9ADED" w14:textId="77777777" w:rsidR="001900E3" w:rsidRPr="001212DF" w:rsidRDefault="001900E3" w:rsidP="00201A59">
      <w:pPr>
        <w:pStyle w:val="ListParagraph"/>
        <w:numPr>
          <w:ilvl w:val="0"/>
          <w:numId w:val="11"/>
        </w:numPr>
        <w:spacing w:after="160" w:line="259" w:lineRule="auto"/>
        <w:rPr>
          <w:rFonts w:cs="Arial"/>
        </w:rPr>
      </w:pPr>
      <w:r w:rsidRPr="001212DF">
        <w:rPr>
          <w:rFonts w:cs="Arial"/>
        </w:rPr>
        <w:t xml:space="preserve">No uninterruptible power supply (UPS) battery </w:t>
      </w:r>
      <w:r>
        <w:rPr>
          <w:rFonts w:cs="Arial"/>
        </w:rPr>
        <w:t>in the</w:t>
      </w:r>
      <w:r w:rsidRPr="001212DF">
        <w:rPr>
          <w:rFonts w:cs="Arial"/>
        </w:rPr>
        <w:t xml:space="preserve"> case </w:t>
      </w:r>
      <w:r>
        <w:rPr>
          <w:rFonts w:cs="Arial"/>
        </w:rPr>
        <w:t xml:space="preserve">where regular </w:t>
      </w:r>
      <w:r w:rsidRPr="001212DF">
        <w:rPr>
          <w:rFonts w:cs="Arial"/>
        </w:rPr>
        <w:t>electricity power source fails.</w:t>
      </w:r>
    </w:p>
    <w:p w14:paraId="44923C42" w14:textId="77777777" w:rsidR="001900E3" w:rsidRDefault="001900E3" w:rsidP="00201A59">
      <w:pPr>
        <w:pStyle w:val="ListParagraph"/>
        <w:numPr>
          <w:ilvl w:val="0"/>
          <w:numId w:val="11"/>
        </w:numPr>
        <w:spacing w:after="160" w:line="259" w:lineRule="auto"/>
        <w:rPr>
          <w:rFonts w:cs="Arial"/>
        </w:rPr>
      </w:pPr>
      <w:r w:rsidRPr="001212DF">
        <w:rPr>
          <w:rFonts w:cs="Arial"/>
        </w:rPr>
        <w:t xml:space="preserve">No alternate electricity generator for the PDMD building </w:t>
      </w:r>
      <w:r>
        <w:rPr>
          <w:rFonts w:cs="Arial"/>
        </w:rPr>
        <w:t>in the</w:t>
      </w:r>
      <w:r w:rsidRPr="001212DF">
        <w:rPr>
          <w:rFonts w:cs="Arial"/>
        </w:rPr>
        <w:t xml:space="preserve"> case </w:t>
      </w:r>
      <w:r>
        <w:rPr>
          <w:rFonts w:cs="Arial"/>
        </w:rPr>
        <w:t xml:space="preserve">where regular </w:t>
      </w:r>
      <w:r w:rsidRPr="001212DF">
        <w:rPr>
          <w:rFonts w:cs="Arial"/>
        </w:rPr>
        <w:t>electricity power source fails.</w:t>
      </w:r>
    </w:p>
    <w:p w14:paraId="391E7DAE" w14:textId="77777777" w:rsidR="001900E3" w:rsidRPr="001212DF" w:rsidRDefault="001900E3" w:rsidP="00201A59">
      <w:pPr>
        <w:pStyle w:val="ListParagraph"/>
        <w:numPr>
          <w:ilvl w:val="0"/>
          <w:numId w:val="11"/>
        </w:numPr>
        <w:spacing w:after="160" w:line="259" w:lineRule="auto"/>
        <w:rPr>
          <w:rFonts w:cs="Arial"/>
        </w:rPr>
      </w:pPr>
      <w:r>
        <w:rPr>
          <w:rFonts w:cs="Arial"/>
        </w:rPr>
        <w:lastRenderedPageBreak/>
        <w:t xml:space="preserve">An </w:t>
      </w:r>
      <w:r w:rsidRPr="001212DF">
        <w:rPr>
          <w:rFonts w:cs="Arial"/>
        </w:rPr>
        <w:t xml:space="preserve">alternate electricity generator </w:t>
      </w:r>
      <w:r>
        <w:rPr>
          <w:rFonts w:cs="Arial"/>
        </w:rPr>
        <w:t>and UPS batteries should be available in the PDMD building in the</w:t>
      </w:r>
      <w:r w:rsidRPr="001212DF">
        <w:rPr>
          <w:rFonts w:cs="Arial"/>
        </w:rPr>
        <w:t xml:space="preserve"> case </w:t>
      </w:r>
      <w:r>
        <w:rPr>
          <w:rFonts w:cs="Arial"/>
        </w:rPr>
        <w:t xml:space="preserve">where </w:t>
      </w:r>
      <w:r w:rsidRPr="001212DF">
        <w:rPr>
          <w:rFonts w:cs="Arial"/>
        </w:rPr>
        <w:t>electricity power source fails</w:t>
      </w:r>
      <w:r>
        <w:rPr>
          <w:rFonts w:cs="Arial"/>
        </w:rPr>
        <w:t xml:space="preserve"> is not uncommon.</w:t>
      </w:r>
    </w:p>
    <w:p w14:paraId="61C83D8C" w14:textId="77777777" w:rsidR="001900E3" w:rsidRDefault="001900E3" w:rsidP="001900E3">
      <w:pPr>
        <w:rPr>
          <w:rFonts w:cs="Arial"/>
        </w:rPr>
      </w:pPr>
    </w:p>
    <w:p w14:paraId="59EE0CAF" w14:textId="77777777" w:rsidR="001900E3" w:rsidRDefault="001900E3" w:rsidP="00201A59">
      <w:pPr>
        <w:pStyle w:val="Heading1"/>
        <w:keepNext/>
        <w:keepLines/>
        <w:pageBreakBefore w:val="0"/>
        <w:numPr>
          <w:ilvl w:val="0"/>
          <w:numId w:val="10"/>
        </w:numPr>
        <w:tabs>
          <w:tab w:val="clear" w:pos="567"/>
          <w:tab w:val="clear" w:pos="3175"/>
          <w:tab w:val="clear" w:pos="4763"/>
        </w:tabs>
        <w:spacing w:before="240" w:after="0" w:line="259" w:lineRule="auto"/>
        <w:jc w:val="left"/>
        <w:rPr>
          <w:lang w:val="en-US"/>
        </w:rPr>
      </w:pPr>
      <w:bookmarkStart w:id="14" w:name="_Toc523327592"/>
      <w:r>
        <w:rPr>
          <w:lang w:val="en-US"/>
        </w:rPr>
        <w:t>Summary Recommendations</w:t>
      </w:r>
      <w:bookmarkEnd w:id="14"/>
    </w:p>
    <w:p w14:paraId="1C6973D6" w14:textId="77777777" w:rsidR="001900E3" w:rsidRDefault="001900E3" w:rsidP="001900E3">
      <w:pPr>
        <w:rPr>
          <w:rFonts w:cs="Arial"/>
        </w:rPr>
      </w:pPr>
    </w:p>
    <w:p w14:paraId="148D9F8D" w14:textId="77777777" w:rsidR="001900E3" w:rsidRDefault="001900E3" w:rsidP="001900E3">
      <w:pPr>
        <w:rPr>
          <w:rFonts w:cs="Arial"/>
        </w:rPr>
      </w:pPr>
      <w:r>
        <w:rPr>
          <w:rFonts w:cs="Arial"/>
        </w:rPr>
        <w:t>This section summarizes the key recommendations for strengthening operational risk management and implementing a business continuity plan. The recommendations have been prioritized as short, medium and long-term deliverables based on their criticality and lead time required for implementation.</w:t>
      </w:r>
    </w:p>
    <w:tbl>
      <w:tblPr>
        <w:tblStyle w:val="TableGrid"/>
        <w:tblW w:w="0" w:type="auto"/>
        <w:tblLook w:val="04A0" w:firstRow="1" w:lastRow="0" w:firstColumn="1" w:lastColumn="0" w:noHBand="0" w:noVBand="1"/>
      </w:tblPr>
      <w:tblGrid>
        <w:gridCol w:w="2265"/>
        <w:gridCol w:w="4531"/>
        <w:gridCol w:w="2266"/>
      </w:tblGrid>
      <w:tr w:rsidR="001900E3" w14:paraId="523BB4A2" w14:textId="77777777" w:rsidTr="001B4FD2">
        <w:tc>
          <w:tcPr>
            <w:tcW w:w="9062" w:type="dxa"/>
            <w:gridSpan w:val="3"/>
          </w:tcPr>
          <w:p w14:paraId="182EB0A7" w14:textId="77777777" w:rsidR="001900E3" w:rsidRDefault="001900E3" w:rsidP="001B4FD2">
            <w:pPr>
              <w:jc w:val="center"/>
              <w:rPr>
                <w:rFonts w:cs="Arial"/>
              </w:rPr>
            </w:pPr>
            <w:r>
              <w:rPr>
                <w:rFonts w:cs="Arial"/>
              </w:rPr>
              <w:t>Recommended Action Plan to Strengthen ORM and BCP</w:t>
            </w:r>
          </w:p>
        </w:tc>
      </w:tr>
      <w:tr w:rsidR="001900E3" w14:paraId="3394E191" w14:textId="77777777" w:rsidTr="001B4FD2">
        <w:tc>
          <w:tcPr>
            <w:tcW w:w="2265" w:type="dxa"/>
          </w:tcPr>
          <w:p w14:paraId="578D8D02" w14:textId="77777777" w:rsidR="001900E3" w:rsidRDefault="001900E3" w:rsidP="001B4FD2">
            <w:pPr>
              <w:rPr>
                <w:rFonts w:cs="Arial"/>
              </w:rPr>
            </w:pPr>
            <w:r>
              <w:rPr>
                <w:rFonts w:cs="Arial"/>
              </w:rPr>
              <w:t>Debt Management Process/Dimesnions</w:t>
            </w:r>
          </w:p>
        </w:tc>
        <w:tc>
          <w:tcPr>
            <w:tcW w:w="4531" w:type="dxa"/>
          </w:tcPr>
          <w:p w14:paraId="6C675D9D" w14:textId="77777777" w:rsidR="001900E3" w:rsidRDefault="001900E3" w:rsidP="001B4FD2">
            <w:pPr>
              <w:rPr>
                <w:rFonts w:cs="Arial"/>
              </w:rPr>
            </w:pPr>
            <w:r>
              <w:rPr>
                <w:rFonts w:cs="Arial"/>
              </w:rPr>
              <w:t>Recommendation</w:t>
            </w:r>
          </w:p>
        </w:tc>
        <w:tc>
          <w:tcPr>
            <w:tcW w:w="2266" w:type="dxa"/>
          </w:tcPr>
          <w:p w14:paraId="547F52B6" w14:textId="77777777" w:rsidR="001900E3" w:rsidRDefault="001900E3" w:rsidP="001B4FD2">
            <w:pPr>
              <w:rPr>
                <w:rFonts w:cs="Arial"/>
              </w:rPr>
            </w:pPr>
            <w:r>
              <w:rPr>
                <w:rFonts w:cs="Arial"/>
              </w:rPr>
              <w:t xml:space="preserve">Implementation Time </w:t>
            </w:r>
          </w:p>
        </w:tc>
      </w:tr>
      <w:tr w:rsidR="001900E3" w14:paraId="5E76CB7B" w14:textId="77777777" w:rsidTr="001B4FD2">
        <w:tc>
          <w:tcPr>
            <w:tcW w:w="9062" w:type="dxa"/>
            <w:gridSpan w:val="3"/>
          </w:tcPr>
          <w:p w14:paraId="719E3C28" w14:textId="77777777" w:rsidR="001900E3" w:rsidRDefault="001900E3" w:rsidP="001B4FD2">
            <w:pPr>
              <w:rPr>
                <w:rFonts w:cs="Arial"/>
              </w:rPr>
            </w:pPr>
            <w:r>
              <w:rPr>
                <w:rFonts w:cs="Arial"/>
              </w:rPr>
              <w:t>Front Office Procedures:</w:t>
            </w:r>
          </w:p>
        </w:tc>
      </w:tr>
      <w:tr w:rsidR="001900E3" w14:paraId="25F63027" w14:textId="77777777" w:rsidTr="001B4FD2">
        <w:tc>
          <w:tcPr>
            <w:tcW w:w="2265" w:type="dxa"/>
          </w:tcPr>
          <w:p w14:paraId="0E691EC1" w14:textId="77777777" w:rsidR="001900E3" w:rsidRDefault="001900E3" w:rsidP="001B4FD2">
            <w:pPr>
              <w:rPr>
                <w:rFonts w:cs="Arial"/>
              </w:rPr>
            </w:pPr>
            <w:r>
              <w:rPr>
                <w:rFonts w:cs="Arial"/>
              </w:rPr>
              <w:t>External Loan Negotiation</w:t>
            </w:r>
          </w:p>
        </w:tc>
        <w:tc>
          <w:tcPr>
            <w:tcW w:w="4531" w:type="dxa"/>
          </w:tcPr>
          <w:p w14:paraId="71CD8942" w14:textId="77777777" w:rsidR="001900E3" w:rsidRDefault="001900E3" w:rsidP="001B4FD2">
            <w:pPr>
              <w:rPr>
                <w:rFonts w:cs="Arial"/>
              </w:rPr>
            </w:pPr>
            <w:r>
              <w:rPr>
                <w:rFonts w:cs="Arial"/>
              </w:rPr>
              <w:t>Ministerial Order to negotiate and finalize external loans that specifies the respective role of the PDMD along with other relevant departments</w:t>
            </w:r>
          </w:p>
        </w:tc>
        <w:tc>
          <w:tcPr>
            <w:tcW w:w="2266" w:type="dxa"/>
          </w:tcPr>
          <w:p w14:paraId="75179D30" w14:textId="77777777" w:rsidR="001900E3" w:rsidRDefault="001900E3" w:rsidP="001B4FD2">
            <w:pPr>
              <w:rPr>
                <w:rFonts w:cs="Arial"/>
              </w:rPr>
            </w:pPr>
            <w:r>
              <w:rPr>
                <w:rFonts w:cs="Arial"/>
              </w:rPr>
              <w:t>December 2018</w:t>
            </w:r>
          </w:p>
        </w:tc>
      </w:tr>
      <w:tr w:rsidR="001900E3" w14:paraId="2019C315" w14:textId="77777777" w:rsidTr="001B4FD2">
        <w:tc>
          <w:tcPr>
            <w:tcW w:w="2265" w:type="dxa"/>
            <w:vMerge w:val="restart"/>
          </w:tcPr>
          <w:p w14:paraId="70A2096E" w14:textId="77777777" w:rsidR="001900E3" w:rsidRDefault="001900E3" w:rsidP="001B4FD2">
            <w:pPr>
              <w:rPr>
                <w:rFonts w:cs="Arial"/>
              </w:rPr>
            </w:pPr>
            <w:r>
              <w:rPr>
                <w:rFonts w:cs="Arial"/>
              </w:rPr>
              <w:t>Auction of Government Securities</w:t>
            </w:r>
          </w:p>
          <w:p w14:paraId="1350A2D2" w14:textId="77777777" w:rsidR="001900E3" w:rsidRDefault="001900E3" w:rsidP="001B4FD2">
            <w:pPr>
              <w:rPr>
                <w:rFonts w:cs="Arial"/>
              </w:rPr>
            </w:pPr>
          </w:p>
        </w:tc>
        <w:tc>
          <w:tcPr>
            <w:tcW w:w="4531" w:type="dxa"/>
          </w:tcPr>
          <w:p w14:paraId="17830E76" w14:textId="77777777" w:rsidR="001900E3" w:rsidRDefault="001900E3" w:rsidP="001B4FD2">
            <w:pPr>
              <w:rPr>
                <w:rFonts w:cs="Arial"/>
              </w:rPr>
            </w:pPr>
            <w:r w:rsidRPr="00916794">
              <w:rPr>
                <w:rFonts w:cs="Arial"/>
              </w:rPr>
              <w:t>iGenium I Net system in NASDAQ-OMX or other middleware connected to the system to generate reports within an electronic format whereby the FO can analyze and decide on the allocations within the system to avoid any manual inputs.</w:t>
            </w:r>
          </w:p>
        </w:tc>
        <w:tc>
          <w:tcPr>
            <w:tcW w:w="2266" w:type="dxa"/>
          </w:tcPr>
          <w:p w14:paraId="19CE72E0" w14:textId="77777777" w:rsidR="001900E3" w:rsidRDefault="001900E3" w:rsidP="001B4FD2">
            <w:pPr>
              <w:rPr>
                <w:rFonts w:cs="Arial"/>
              </w:rPr>
            </w:pPr>
            <w:r>
              <w:rPr>
                <w:rFonts w:cs="Arial"/>
              </w:rPr>
              <w:t>December 2019</w:t>
            </w:r>
          </w:p>
        </w:tc>
      </w:tr>
      <w:tr w:rsidR="001900E3" w14:paraId="6088EA4D" w14:textId="77777777" w:rsidTr="001B4FD2">
        <w:tc>
          <w:tcPr>
            <w:tcW w:w="2265" w:type="dxa"/>
            <w:vMerge/>
          </w:tcPr>
          <w:p w14:paraId="175DCFF4" w14:textId="77777777" w:rsidR="001900E3" w:rsidRDefault="001900E3" w:rsidP="001B4FD2">
            <w:pPr>
              <w:rPr>
                <w:rFonts w:cs="Arial"/>
              </w:rPr>
            </w:pPr>
          </w:p>
        </w:tc>
        <w:tc>
          <w:tcPr>
            <w:tcW w:w="4531" w:type="dxa"/>
          </w:tcPr>
          <w:p w14:paraId="04FF7685" w14:textId="414A34DB" w:rsidR="001900E3" w:rsidRDefault="000A7513" w:rsidP="001B4FD2">
            <w:pPr>
              <w:rPr>
                <w:rFonts w:cs="Arial"/>
              </w:rPr>
            </w:pPr>
            <w:r>
              <w:rPr>
                <w:rFonts w:cs="Arial"/>
              </w:rPr>
              <w:t xml:space="preserve"> The functionality in </w:t>
            </w:r>
            <w:r w:rsidRPr="008D0A6F">
              <w:rPr>
                <w:rFonts w:cs="Arial"/>
              </w:rPr>
              <w:t>Genium I Net system</w:t>
            </w:r>
            <w:r>
              <w:rPr>
                <w:rFonts w:cs="Arial"/>
              </w:rPr>
              <w:t xml:space="preserve"> should be amended to have an in-built facility to show the desired allocated amount and the relevant  cut-off yield as a validation measure, before the FO can review and decide on the final allocation within the system.</w:t>
            </w:r>
          </w:p>
        </w:tc>
        <w:tc>
          <w:tcPr>
            <w:tcW w:w="2266" w:type="dxa"/>
          </w:tcPr>
          <w:p w14:paraId="57728C9B" w14:textId="56DA9A90" w:rsidR="001900E3" w:rsidRDefault="001900E3" w:rsidP="001B4FD2">
            <w:pPr>
              <w:rPr>
                <w:rFonts w:cs="Arial"/>
              </w:rPr>
            </w:pPr>
            <w:r>
              <w:rPr>
                <w:rFonts w:cs="Arial"/>
              </w:rPr>
              <w:t xml:space="preserve">December </w:t>
            </w:r>
            <w:r w:rsidR="000A7513">
              <w:rPr>
                <w:rFonts w:cs="Arial"/>
              </w:rPr>
              <w:t>2019</w:t>
            </w:r>
          </w:p>
        </w:tc>
      </w:tr>
      <w:tr w:rsidR="00584CBF" w14:paraId="3689300B" w14:textId="77777777" w:rsidTr="001B4FD2">
        <w:tc>
          <w:tcPr>
            <w:tcW w:w="2265" w:type="dxa"/>
          </w:tcPr>
          <w:p w14:paraId="695F4130" w14:textId="77777777" w:rsidR="00584CBF" w:rsidRDefault="00584CBF" w:rsidP="001B4FD2">
            <w:pPr>
              <w:rPr>
                <w:rFonts w:cs="Arial"/>
              </w:rPr>
            </w:pPr>
          </w:p>
        </w:tc>
        <w:tc>
          <w:tcPr>
            <w:tcW w:w="4531" w:type="dxa"/>
          </w:tcPr>
          <w:p w14:paraId="0654AC1A" w14:textId="55DE1C3F" w:rsidR="00584CBF" w:rsidDel="00EA484B" w:rsidRDefault="00584CBF" w:rsidP="001B4FD2">
            <w:pPr>
              <w:rPr>
                <w:rFonts w:cs="Arial"/>
              </w:rPr>
            </w:pPr>
            <w:r>
              <w:rPr>
                <w:rFonts w:cs="Arial"/>
              </w:rPr>
              <w:t xml:space="preserve">Apply the “four eyes” principle by assigning separate responsibilities to officials within FO between undertaking the analysis on bid allocation and recording the final confirmation validating the allocation advice through the </w:t>
            </w:r>
            <w:r w:rsidRPr="008D0A6F">
              <w:rPr>
                <w:rFonts w:cs="Arial"/>
              </w:rPr>
              <w:t>Genium I Net system</w:t>
            </w:r>
            <w:r>
              <w:rPr>
                <w:rFonts w:cs="Arial"/>
              </w:rPr>
              <w:t>.</w:t>
            </w:r>
          </w:p>
        </w:tc>
        <w:tc>
          <w:tcPr>
            <w:tcW w:w="2266" w:type="dxa"/>
          </w:tcPr>
          <w:p w14:paraId="795B16DE" w14:textId="4BC9E2D1" w:rsidR="00584CBF" w:rsidRDefault="00584CBF" w:rsidP="001B4FD2">
            <w:pPr>
              <w:rPr>
                <w:rFonts w:cs="Arial"/>
              </w:rPr>
            </w:pPr>
            <w:r>
              <w:rPr>
                <w:rFonts w:cs="Arial"/>
              </w:rPr>
              <w:t>December 2018</w:t>
            </w:r>
          </w:p>
        </w:tc>
      </w:tr>
      <w:tr w:rsidR="001900E3" w14:paraId="0B8AE53E" w14:textId="77777777" w:rsidTr="001B4FD2">
        <w:tc>
          <w:tcPr>
            <w:tcW w:w="9062" w:type="dxa"/>
            <w:gridSpan w:val="3"/>
          </w:tcPr>
          <w:p w14:paraId="7F917D8F" w14:textId="77777777" w:rsidR="001900E3" w:rsidRDefault="001900E3" w:rsidP="001B4FD2">
            <w:pPr>
              <w:rPr>
                <w:rFonts w:cs="Arial"/>
              </w:rPr>
            </w:pPr>
            <w:r>
              <w:rPr>
                <w:rFonts w:cs="Arial"/>
              </w:rPr>
              <w:t>Middle Office Procedures:</w:t>
            </w:r>
          </w:p>
        </w:tc>
      </w:tr>
      <w:tr w:rsidR="001900E3" w14:paraId="6B09201C" w14:textId="77777777" w:rsidTr="001B4FD2">
        <w:tc>
          <w:tcPr>
            <w:tcW w:w="2265" w:type="dxa"/>
          </w:tcPr>
          <w:p w14:paraId="6A892C99" w14:textId="1B685A76" w:rsidR="001900E3" w:rsidRDefault="00A22018" w:rsidP="001B4FD2">
            <w:pPr>
              <w:rPr>
                <w:rFonts w:cs="Arial"/>
              </w:rPr>
            </w:pPr>
            <w:r>
              <w:rPr>
                <w:rFonts w:cs="Arial"/>
              </w:rPr>
              <w:t>Risk Analysis</w:t>
            </w:r>
          </w:p>
        </w:tc>
        <w:tc>
          <w:tcPr>
            <w:tcW w:w="4531" w:type="dxa"/>
          </w:tcPr>
          <w:p w14:paraId="2B80E8D0" w14:textId="0D6313AC" w:rsidR="001900E3" w:rsidRDefault="00A22018" w:rsidP="001B4FD2">
            <w:pPr>
              <w:rPr>
                <w:rFonts w:cs="Arial"/>
              </w:rPr>
            </w:pPr>
            <w:r>
              <w:rPr>
                <w:rFonts w:cs="Arial"/>
              </w:rPr>
              <w:t xml:space="preserve"> To minimize the potential for human risks on </w:t>
            </w:r>
            <w:r w:rsidR="000C7428">
              <w:rPr>
                <w:rFonts w:cs="Arial"/>
              </w:rPr>
              <w:t>analysis undertaken in E</w:t>
            </w:r>
            <w:r>
              <w:rPr>
                <w:rFonts w:cs="Arial"/>
              </w:rPr>
              <w:t>xc</w:t>
            </w:r>
            <w:r w:rsidR="000C7428">
              <w:rPr>
                <w:rFonts w:cs="Arial"/>
              </w:rPr>
              <w:t xml:space="preserve">el spreadsheet </w:t>
            </w:r>
            <w:r>
              <w:rPr>
                <w:rFonts w:cs="Arial"/>
              </w:rPr>
              <w:t xml:space="preserve">, MO </w:t>
            </w:r>
            <w:r w:rsidR="000C7428">
              <w:rPr>
                <w:rFonts w:cs="Arial"/>
              </w:rPr>
              <w:t>should</w:t>
            </w:r>
            <w:r>
              <w:rPr>
                <w:rFonts w:cs="Arial"/>
              </w:rPr>
              <w:t xml:space="preserve"> put in place a process whereby a different official is responsible to cross-check the accuracy in the use of input received from other units / Departments; as also the analytical work and the results. </w:t>
            </w:r>
          </w:p>
        </w:tc>
        <w:tc>
          <w:tcPr>
            <w:tcW w:w="2266" w:type="dxa"/>
          </w:tcPr>
          <w:p w14:paraId="0B703760" w14:textId="2CF666CE" w:rsidR="001900E3" w:rsidRDefault="001900E3" w:rsidP="001B4FD2">
            <w:pPr>
              <w:rPr>
                <w:rFonts w:cs="Arial"/>
              </w:rPr>
            </w:pPr>
            <w:r>
              <w:rPr>
                <w:rFonts w:cs="Arial"/>
              </w:rPr>
              <w:t>December 201</w:t>
            </w:r>
            <w:r w:rsidR="00A22018">
              <w:rPr>
                <w:rFonts w:cs="Arial"/>
              </w:rPr>
              <w:t>8</w:t>
            </w:r>
          </w:p>
        </w:tc>
      </w:tr>
      <w:tr w:rsidR="00A22018" w14:paraId="5C3F9337" w14:textId="77777777" w:rsidTr="001B4FD2">
        <w:tc>
          <w:tcPr>
            <w:tcW w:w="2265" w:type="dxa"/>
          </w:tcPr>
          <w:p w14:paraId="053A0687" w14:textId="71277BC9" w:rsidR="00A22018" w:rsidDel="00A22018" w:rsidRDefault="00A22018" w:rsidP="001B4FD2">
            <w:pPr>
              <w:rPr>
                <w:rFonts w:cs="Arial"/>
              </w:rPr>
            </w:pPr>
            <w:r>
              <w:rPr>
                <w:rFonts w:cs="Arial"/>
              </w:rPr>
              <w:t>Risk Monitoring</w:t>
            </w:r>
          </w:p>
        </w:tc>
        <w:tc>
          <w:tcPr>
            <w:tcW w:w="4531" w:type="dxa"/>
          </w:tcPr>
          <w:p w14:paraId="1E190F8F" w14:textId="436B6CCC" w:rsidR="00A22018" w:rsidDel="00A22018" w:rsidRDefault="000C7428" w:rsidP="001B4FD2">
            <w:pPr>
              <w:rPr>
                <w:rFonts w:cs="Arial"/>
              </w:rPr>
            </w:pPr>
            <w:r>
              <w:rPr>
                <w:rFonts w:cs="Arial"/>
              </w:rPr>
              <w:t xml:space="preserve">MO to cross-check the accuracy of the data received from BO maintained in Excel template, for monitoring its debt target </w:t>
            </w:r>
            <w:r>
              <w:rPr>
                <w:rFonts w:cs="Arial"/>
              </w:rPr>
              <w:lastRenderedPageBreak/>
              <w:t>compliance functions.</w:t>
            </w:r>
          </w:p>
        </w:tc>
        <w:tc>
          <w:tcPr>
            <w:tcW w:w="2266" w:type="dxa"/>
          </w:tcPr>
          <w:p w14:paraId="4276A25D" w14:textId="5E35B919" w:rsidR="00A22018" w:rsidRDefault="000C7428" w:rsidP="001B4FD2">
            <w:pPr>
              <w:rPr>
                <w:rFonts w:cs="Arial"/>
              </w:rPr>
            </w:pPr>
            <w:r>
              <w:rPr>
                <w:rFonts w:cs="Arial"/>
              </w:rPr>
              <w:lastRenderedPageBreak/>
              <w:t>December 2018</w:t>
            </w:r>
          </w:p>
        </w:tc>
      </w:tr>
      <w:tr w:rsidR="001900E3" w14:paraId="22181B13" w14:textId="77777777" w:rsidTr="001B4FD2">
        <w:tc>
          <w:tcPr>
            <w:tcW w:w="9062" w:type="dxa"/>
            <w:gridSpan w:val="3"/>
          </w:tcPr>
          <w:p w14:paraId="5821C1E4" w14:textId="77777777" w:rsidR="001900E3" w:rsidRDefault="001900E3" w:rsidP="001B4FD2">
            <w:pPr>
              <w:rPr>
                <w:rFonts w:cs="Arial"/>
              </w:rPr>
            </w:pPr>
            <w:r>
              <w:rPr>
                <w:rFonts w:cs="Arial"/>
              </w:rPr>
              <w:lastRenderedPageBreak/>
              <w:t>Back Office Procedures:</w:t>
            </w:r>
          </w:p>
        </w:tc>
      </w:tr>
      <w:tr w:rsidR="001900E3" w14:paraId="0E41144D" w14:textId="77777777" w:rsidTr="001B4FD2">
        <w:tc>
          <w:tcPr>
            <w:tcW w:w="2265" w:type="dxa"/>
            <w:vMerge w:val="restart"/>
          </w:tcPr>
          <w:p w14:paraId="11D37A2D" w14:textId="77777777" w:rsidR="001900E3" w:rsidRDefault="001900E3" w:rsidP="001B4FD2">
            <w:pPr>
              <w:rPr>
                <w:rFonts w:cs="Arial"/>
              </w:rPr>
            </w:pPr>
            <w:r>
              <w:rPr>
                <w:rFonts w:cs="Arial"/>
              </w:rPr>
              <w:t>Debt Data Records and Documentation</w:t>
            </w:r>
          </w:p>
          <w:p w14:paraId="7902D4C1" w14:textId="77777777" w:rsidR="001900E3" w:rsidRDefault="001900E3" w:rsidP="001B4FD2">
            <w:pPr>
              <w:rPr>
                <w:rFonts w:cs="Arial"/>
              </w:rPr>
            </w:pPr>
          </w:p>
        </w:tc>
        <w:tc>
          <w:tcPr>
            <w:tcW w:w="4531" w:type="dxa"/>
          </w:tcPr>
          <w:p w14:paraId="7CA8EA18" w14:textId="77777777" w:rsidR="001900E3" w:rsidRDefault="001900E3" w:rsidP="001B4FD2">
            <w:pPr>
              <w:rPr>
                <w:rFonts w:cs="Arial"/>
              </w:rPr>
            </w:pPr>
            <w:r>
              <w:rPr>
                <w:rFonts w:cs="Arial"/>
              </w:rPr>
              <w:t>Store debt administration records including supporting documents on debt in lockers within PDMD which are fire and flood proof.</w:t>
            </w:r>
          </w:p>
          <w:p w14:paraId="77298FD4" w14:textId="77777777" w:rsidR="001900E3" w:rsidRDefault="001900E3" w:rsidP="001B4FD2">
            <w:pPr>
              <w:rPr>
                <w:rFonts w:cs="Arial"/>
              </w:rPr>
            </w:pPr>
          </w:p>
        </w:tc>
        <w:tc>
          <w:tcPr>
            <w:tcW w:w="2266" w:type="dxa"/>
          </w:tcPr>
          <w:p w14:paraId="107FB4A0" w14:textId="77777777" w:rsidR="001900E3" w:rsidRDefault="001900E3" w:rsidP="001B4FD2">
            <w:pPr>
              <w:rPr>
                <w:rFonts w:cs="Arial"/>
              </w:rPr>
            </w:pPr>
            <w:r>
              <w:rPr>
                <w:rFonts w:cs="Arial"/>
              </w:rPr>
              <w:t>December 2019</w:t>
            </w:r>
          </w:p>
        </w:tc>
      </w:tr>
      <w:tr w:rsidR="000C7428" w14:paraId="064D9DBB" w14:textId="77777777" w:rsidTr="001B4FD2">
        <w:tc>
          <w:tcPr>
            <w:tcW w:w="2265" w:type="dxa"/>
            <w:vMerge/>
          </w:tcPr>
          <w:p w14:paraId="2C59112C" w14:textId="77777777" w:rsidR="000C7428" w:rsidRDefault="000C7428" w:rsidP="001B4FD2">
            <w:pPr>
              <w:rPr>
                <w:rFonts w:cs="Arial"/>
              </w:rPr>
            </w:pPr>
          </w:p>
        </w:tc>
        <w:tc>
          <w:tcPr>
            <w:tcW w:w="4531" w:type="dxa"/>
          </w:tcPr>
          <w:p w14:paraId="6FF49EBF" w14:textId="5A71A467" w:rsidR="000C7428" w:rsidRDefault="000C7428" w:rsidP="001B4FD2">
            <w:pPr>
              <w:rPr>
                <w:rFonts w:cs="Arial"/>
              </w:rPr>
            </w:pPr>
            <w:r>
              <w:rPr>
                <w:rFonts w:cs="Arial"/>
              </w:rPr>
              <w:t>Maintain scanned documents of existing debt records in electronic format and store it with regular back ups.</w:t>
            </w:r>
          </w:p>
        </w:tc>
        <w:tc>
          <w:tcPr>
            <w:tcW w:w="2266" w:type="dxa"/>
          </w:tcPr>
          <w:p w14:paraId="167AF675" w14:textId="66C9E15B" w:rsidR="000C7428" w:rsidRDefault="000C7428" w:rsidP="001B4FD2">
            <w:pPr>
              <w:rPr>
                <w:rFonts w:cs="Arial"/>
              </w:rPr>
            </w:pPr>
            <w:r>
              <w:rPr>
                <w:rFonts w:cs="Arial"/>
              </w:rPr>
              <w:t>December 2019</w:t>
            </w:r>
          </w:p>
        </w:tc>
      </w:tr>
      <w:tr w:rsidR="001900E3" w14:paraId="50C0E225" w14:textId="77777777" w:rsidTr="001B4FD2">
        <w:tc>
          <w:tcPr>
            <w:tcW w:w="2265" w:type="dxa"/>
            <w:vMerge w:val="restart"/>
          </w:tcPr>
          <w:p w14:paraId="1DB4360D" w14:textId="77777777" w:rsidR="001900E3" w:rsidRDefault="001900E3" w:rsidP="001B4FD2">
            <w:pPr>
              <w:rPr>
                <w:rFonts w:cs="Arial"/>
              </w:rPr>
            </w:pPr>
            <w:r>
              <w:rPr>
                <w:rFonts w:cs="Arial"/>
              </w:rPr>
              <w:t>Debt Management System and Debt Database</w:t>
            </w:r>
          </w:p>
          <w:p w14:paraId="258A4DA4" w14:textId="77777777" w:rsidR="001900E3" w:rsidRDefault="001900E3" w:rsidP="001B4FD2">
            <w:pPr>
              <w:rPr>
                <w:rFonts w:cs="Arial"/>
              </w:rPr>
            </w:pPr>
          </w:p>
        </w:tc>
        <w:tc>
          <w:tcPr>
            <w:tcW w:w="4531" w:type="dxa"/>
          </w:tcPr>
          <w:p w14:paraId="45D159E7" w14:textId="26CAEC52" w:rsidR="001900E3" w:rsidRDefault="00EC11FB" w:rsidP="001B4FD2">
            <w:pPr>
              <w:rPr>
                <w:rFonts w:cs="Arial"/>
              </w:rPr>
            </w:pPr>
            <w:r>
              <w:rPr>
                <w:rFonts w:cs="Arial"/>
              </w:rPr>
              <w:t xml:space="preserve">Update and validate </w:t>
            </w:r>
            <w:r w:rsidRPr="006C31E1">
              <w:rPr>
                <w:rFonts w:cs="Arial"/>
              </w:rPr>
              <w:t xml:space="preserve">all </w:t>
            </w:r>
            <w:r>
              <w:rPr>
                <w:rFonts w:cs="Arial"/>
              </w:rPr>
              <w:t xml:space="preserve">external </w:t>
            </w:r>
            <w:r w:rsidRPr="006C31E1">
              <w:rPr>
                <w:rFonts w:cs="Arial"/>
              </w:rPr>
              <w:t>debt data records in the DMFAS system, with a phased approach on a loan-by-loan basis</w:t>
            </w:r>
            <w:r>
              <w:rPr>
                <w:rFonts w:cs="Arial"/>
              </w:rPr>
              <w:t xml:space="preserve"> including records of debt service payments</w:t>
            </w:r>
            <w:r w:rsidRPr="006C31E1">
              <w:rPr>
                <w:rFonts w:cs="Arial"/>
              </w:rPr>
              <w:t>.</w:t>
            </w:r>
          </w:p>
        </w:tc>
        <w:tc>
          <w:tcPr>
            <w:tcW w:w="2266" w:type="dxa"/>
          </w:tcPr>
          <w:p w14:paraId="0B72DE25" w14:textId="77777777" w:rsidR="001900E3" w:rsidRDefault="001900E3" w:rsidP="001B4FD2">
            <w:pPr>
              <w:rPr>
                <w:rFonts w:cs="Arial"/>
              </w:rPr>
            </w:pPr>
            <w:r>
              <w:rPr>
                <w:rFonts w:cs="Arial"/>
              </w:rPr>
              <w:t>December 2019</w:t>
            </w:r>
          </w:p>
        </w:tc>
      </w:tr>
      <w:tr w:rsidR="00EC11FB" w14:paraId="7985A15B" w14:textId="77777777" w:rsidTr="001B4FD2">
        <w:tc>
          <w:tcPr>
            <w:tcW w:w="2265" w:type="dxa"/>
            <w:vMerge/>
          </w:tcPr>
          <w:p w14:paraId="5053A648" w14:textId="77777777" w:rsidR="00EC11FB" w:rsidRDefault="00EC11FB" w:rsidP="001B4FD2">
            <w:pPr>
              <w:rPr>
                <w:rFonts w:cs="Arial"/>
              </w:rPr>
            </w:pPr>
          </w:p>
        </w:tc>
        <w:tc>
          <w:tcPr>
            <w:tcW w:w="4531" w:type="dxa"/>
          </w:tcPr>
          <w:p w14:paraId="341EF8AA" w14:textId="646F263A" w:rsidR="00EC11FB" w:rsidRDefault="00EC11FB" w:rsidP="001B4FD2">
            <w:pPr>
              <w:rPr>
                <w:rFonts w:cs="Arial"/>
              </w:rPr>
            </w:pPr>
            <w:r>
              <w:rPr>
                <w:rFonts w:cs="Arial"/>
              </w:rPr>
              <w:t>D</w:t>
            </w:r>
            <w:r w:rsidRPr="00BC3AD1">
              <w:rPr>
                <w:rFonts w:cs="Arial"/>
              </w:rPr>
              <w:t xml:space="preserve">evelop an electronic interface between the </w:t>
            </w:r>
            <w:r>
              <w:rPr>
                <w:rFonts w:cs="Arial"/>
              </w:rPr>
              <w:t xml:space="preserve">central </w:t>
            </w:r>
            <w:r w:rsidRPr="00BC3AD1">
              <w:rPr>
                <w:rFonts w:cs="Arial"/>
              </w:rPr>
              <w:t>depository system and DMFAS system</w:t>
            </w:r>
            <w:r>
              <w:rPr>
                <w:rFonts w:cs="Arial"/>
              </w:rPr>
              <w:t xml:space="preserve"> or the Debt Module within the planned IFMIS</w:t>
            </w:r>
            <w:r w:rsidRPr="00BC3AD1">
              <w:rPr>
                <w:rFonts w:cs="Arial"/>
              </w:rPr>
              <w:t>.</w:t>
            </w:r>
            <w:r>
              <w:rPr>
                <w:rFonts w:cs="Arial"/>
              </w:rPr>
              <w:t xml:space="preserve"> This will ensure an integrated debt database.</w:t>
            </w:r>
          </w:p>
        </w:tc>
        <w:tc>
          <w:tcPr>
            <w:tcW w:w="2266" w:type="dxa"/>
          </w:tcPr>
          <w:p w14:paraId="233669CD" w14:textId="2B045AA8" w:rsidR="00EC11FB" w:rsidRDefault="00EC11FB" w:rsidP="001B4FD2">
            <w:pPr>
              <w:rPr>
                <w:rFonts w:cs="Arial"/>
              </w:rPr>
            </w:pPr>
            <w:r>
              <w:rPr>
                <w:rFonts w:cs="Arial"/>
              </w:rPr>
              <w:t>December 2019</w:t>
            </w:r>
          </w:p>
        </w:tc>
      </w:tr>
      <w:tr w:rsidR="001900E3" w14:paraId="4F8A9EE6" w14:textId="77777777" w:rsidTr="001B4FD2">
        <w:tc>
          <w:tcPr>
            <w:tcW w:w="2265" w:type="dxa"/>
            <w:vMerge/>
          </w:tcPr>
          <w:p w14:paraId="12B081D5" w14:textId="77777777" w:rsidR="001900E3" w:rsidRDefault="001900E3" w:rsidP="001B4FD2">
            <w:pPr>
              <w:rPr>
                <w:rFonts w:cs="Arial"/>
              </w:rPr>
            </w:pPr>
          </w:p>
        </w:tc>
        <w:tc>
          <w:tcPr>
            <w:tcW w:w="4531" w:type="dxa"/>
          </w:tcPr>
          <w:p w14:paraId="18717A6F" w14:textId="77777777" w:rsidR="001900E3" w:rsidRDefault="001900E3" w:rsidP="001B4FD2">
            <w:pPr>
              <w:rPr>
                <w:rFonts w:cs="Arial"/>
              </w:rPr>
            </w:pPr>
            <w:r>
              <w:rPr>
                <w:rFonts w:cs="Arial"/>
              </w:rPr>
              <w:t>Provide secured access to DMFAS system through a unique username and password for each user within PDMD. Review the existing written procedures for controlling access to the debt management system.</w:t>
            </w:r>
          </w:p>
        </w:tc>
        <w:tc>
          <w:tcPr>
            <w:tcW w:w="2266" w:type="dxa"/>
          </w:tcPr>
          <w:p w14:paraId="5472B4B0" w14:textId="77777777" w:rsidR="001900E3" w:rsidRDefault="001900E3" w:rsidP="001B4FD2">
            <w:pPr>
              <w:rPr>
                <w:rFonts w:cs="Arial"/>
              </w:rPr>
            </w:pPr>
            <w:r>
              <w:rPr>
                <w:rFonts w:cs="Arial"/>
              </w:rPr>
              <w:t>December 2018</w:t>
            </w:r>
          </w:p>
        </w:tc>
      </w:tr>
      <w:tr w:rsidR="001900E3" w14:paraId="7DC6CDB2" w14:textId="77777777" w:rsidTr="001B4FD2">
        <w:tc>
          <w:tcPr>
            <w:tcW w:w="2265" w:type="dxa"/>
            <w:vMerge/>
          </w:tcPr>
          <w:p w14:paraId="13FECB07" w14:textId="77777777" w:rsidR="001900E3" w:rsidRDefault="001900E3" w:rsidP="001B4FD2">
            <w:pPr>
              <w:rPr>
                <w:rFonts w:cs="Arial"/>
              </w:rPr>
            </w:pPr>
          </w:p>
        </w:tc>
        <w:tc>
          <w:tcPr>
            <w:tcW w:w="4531" w:type="dxa"/>
          </w:tcPr>
          <w:p w14:paraId="30BF8D7B" w14:textId="77777777" w:rsidR="001900E3" w:rsidRDefault="001900E3" w:rsidP="001B4FD2">
            <w:pPr>
              <w:rPr>
                <w:rFonts w:cs="Arial"/>
              </w:rPr>
            </w:pPr>
            <w:r>
              <w:rPr>
                <w:rFonts w:cs="Arial"/>
              </w:rPr>
              <w:t>Provide training on DMFAS database administrator training to IT department, while PDMD users will need functional trainings on the compilation of debt database</w:t>
            </w:r>
          </w:p>
        </w:tc>
        <w:tc>
          <w:tcPr>
            <w:tcW w:w="2266" w:type="dxa"/>
          </w:tcPr>
          <w:p w14:paraId="3FA37B87" w14:textId="77777777" w:rsidR="001900E3" w:rsidRDefault="001900E3" w:rsidP="001B4FD2">
            <w:pPr>
              <w:rPr>
                <w:rFonts w:cs="Arial"/>
              </w:rPr>
            </w:pPr>
            <w:r>
              <w:rPr>
                <w:rFonts w:cs="Arial"/>
              </w:rPr>
              <w:t>December 2018</w:t>
            </w:r>
          </w:p>
        </w:tc>
      </w:tr>
      <w:tr w:rsidR="001900E3" w14:paraId="383EC76F" w14:textId="77777777" w:rsidTr="001B4FD2">
        <w:tc>
          <w:tcPr>
            <w:tcW w:w="2265" w:type="dxa"/>
            <w:vMerge/>
          </w:tcPr>
          <w:p w14:paraId="4ECE15D5" w14:textId="77777777" w:rsidR="001900E3" w:rsidRDefault="001900E3" w:rsidP="001B4FD2">
            <w:pPr>
              <w:rPr>
                <w:rFonts w:cs="Arial"/>
              </w:rPr>
            </w:pPr>
          </w:p>
        </w:tc>
        <w:tc>
          <w:tcPr>
            <w:tcW w:w="4531" w:type="dxa"/>
          </w:tcPr>
          <w:p w14:paraId="53286312" w14:textId="77777777" w:rsidR="001900E3" w:rsidRDefault="001900E3" w:rsidP="001B4FD2">
            <w:pPr>
              <w:rPr>
                <w:rFonts w:cs="Arial"/>
              </w:rPr>
            </w:pPr>
            <w:r>
              <w:rPr>
                <w:rFonts w:cs="Arial"/>
              </w:rPr>
              <w:t>Produce an audit trail from DMFAS which should be used in the monitoring of ORM and through internal and external audits.</w:t>
            </w:r>
          </w:p>
        </w:tc>
        <w:tc>
          <w:tcPr>
            <w:tcW w:w="2266" w:type="dxa"/>
          </w:tcPr>
          <w:p w14:paraId="4F6D8972" w14:textId="77777777" w:rsidR="001900E3" w:rsidRDefault="001900E3" w:rsidP="001B4FD2">
            <w:pPr>
              <w:rPr>
                <w:rFonts w:cs="Arial"/>
              </w:rPr>
            </w:pPr>
            <w:r>
              <w:rPr>
                <w:rFonts w:cs="Arial"/>
              </w:rPr>
              <w:t>December 2020</w:t>
            </w:r>
          </w:p>
        </w:tc>
      </w:tr>
      <w:tr w:rsidR="001900E3" w14:paraId="2782FD3B" w14:textId="77777777" w:rsidTr="001B4FD2">
        <w:tc>
          <w:tcPr>
            <w:tcW w:w="2265" w:type="dxa"/>
            <w:vMerge/>
          </w:tcPr>
          <w:p w14:paraId="5B75D22D" w14:textId="77777777" w:rsidR="001900E3" w:rsidRDefault="001900E3" w:rsidP="001B4FD2">
            <w:pPr>
              <w:rPr>
                <w:rFonts w:cs="Arial"/>
              </w:rPr>
            </w:pPr>
          </w:p>
        </w:tc>
        <w:tc>
          <w:tcPr>
            <w:tcW w:w="4531" w:type="dxa"/>
          </w:tcPr>
          <w:p w14:paraId="6DF924F8" w14:textId="5069AA92" w:rsidR="005B5A9B" w:rsidRDefault="005B5A9B" w:rsidP="005B5A9B">
            <w:pPr>
              <w:rPr>
                <w:rFonts w:cs="Arial"/>
              </w:rPr>
            </w:pPr>
            <w:r>
              <w:rPr>
                <w:rFonts w:cs="Arial"/>
              </w:rPr>
              <w:t xml:space="preserve">To avoid the risk of data loss, debt database should be stored in a secured filing system in a separate location, in the MoF server </w:t>
            </w:r>
            <w:r w:rsidR="008D48CF">
              <w:rPr>
                <w:rFonts w:cs="Arial"/>
              </w:rPr>
              <w:t>as</w:t>
            </w:r>
            <w:r>
              <w:rPr>
                <w:rFonts w:cs="Arial"/>
              </w:rPr>
              <w:t xml:space="preserve"> a dedicated facility for storing public debt database.  </w:t>
            </w:r>
          </w:p>
          <w:p w14:paraId="520CF4EB" w14:textId="4FE86876" w:rsidR="001900E3" w:rsidRDefault="001900E3" w:rsidP="001B4FD2">
            <w:pPr>
              <w:rPr>
                <w:rFonts w:cs="Arial"/>
              </w:rPr>
            </w:pPr>
          </w:p>
        </w:tc>
        <w:tc>
          <w:tcPr>
            <w:tcW w:w="2266" w:type="dxa"/>
          </w:tcPr>
          <w:p w14:paraId="561CBCC7" w14:textId="6AA7DF48" w:rsidR="001900E3" w:rsidRDefault="001900E3" w:rsidP="001B4FD2">
            <w:pPr>
              <w:rPr>
                <w:rFonts w:cs="Arial"/>
              </w:rPr>
            </w:pPr>
            <w:r>
              <w:rPr>
                <w:rFonts w:cs="Arial"/>
              </w:rPr>
              <w:t xml:space="preserve">December 2018 </w:t>
            </w:r>
          </w:p>
        </w:tc>
      </w:tr>
      <w:tr w:rsidR="008D48CF" w14:paraId="02EC06BA" w14:textId="77777777" w:rsidTr="001B4FD2">
        <w:tc>
          <w:tcPr>
            <w:tcW w:w="2265" w:type="dxa"/>
          </w:tcPr>
          <w:p w14:paraId="4A671287" w14:textId="77777777" w:rsidR="008D48CF" w:rsidRDefault="008D48CF" w:rsidP="001B4FD2">
            <w:pPr>
              <w:rPr>
                <w:rFonts w:cs="Arial"/>
              </w:rPr>
            </w:pPr>
          </w:p>
        </w:tc>
        <w:tc>
          <w:tcPr>
            <w:tcW w:w="4531" w:type="dxa"/>
          </w:tcPr>
          <w:p w14:paraId="6F3EB236" w14:textId="6AA046A8" w:rsidR="008D48CF" w:rsidRDefault="008D48CF" w:rsidP="005B5A9B">
            <w:pPr>
              <w:rPr>
                <w:rFonts w:cs="Arial"/>
              </w:rPr>
            </w:pPr>
            <w:r>
              <w:rPr>
                <w:rFonts w:cs="Arial"/>
              </w:rPr>
              <w:t xml:space="preserve">PDMD performs a weekly back up of the database. Once the IT system is improved further, the frequency of backups could be enhanced to a daily process. </w:t>
            </w:r>
          </w:p>
        </w:tc>
        <w:tc>
          <w:tcPr>
            <w:tcW w:w="2266" w:type="dxa"/>
          </w:tcPr>
          <w:p w14:paraId="5347C20B" w14:textId="314480BF" w:rsidR="008D48CF" w:rsidRDefault="008D48CF" w:rsidP="001B4FD2">
            <w:pPr>
              <w:rPr>
                <w:rFonts w:cs="Arial"/>
              </w:rPr>
            </w:pPr>
            <w:r>
              <w:rPr>
                <w:rFonts w:cs="Arial"/>
              </w:rPr>
              <w:t>December 2018</w:t>
            </w:r>
          </w:p>
        </w:tc>
      </w:tr>
      <w:tr w:rsidR="008D48CF" w14:paraId="6C4359E7" w14:textId="77777777" w:rsidTr="001B4FD2">
        <w:tc>
          <w:tcPr>
            <w:tcW w:w="2265" w:type="dxa"/>
          </w:tcPr>
          <w:p w14:paraId="603DBE7B" w14:textId="77777777" w:rsidR="008D48CF" w:rsidRDefault="008D48CF" w:rsidP="001B4FD2">
            <w:pPr>
              <w:rPr>
                <w:rFonts w:cs="Arial"/>
              </w:rPr>
            </w:pPr>
          </w:p>
        </w:tc>
        <w:tc>
          <w:tcPr>
            <w:tcW w:w="4531" w:type="dxa"/>
          </w:tcPr>
          <w:p w14:paraId="3BC1599D" w14:textId="7E1A3AC5" w:rsidR="008D48CF" w:rsidRDefault="008D48CF" w:rsidP="005B5A9B">
            <w:pPr>
              <w:rPr>
                <w:rFonts w:cs="Arial"/>
              </w:rPr>
            </w:pPr>
            <w:r>
              <w:rPr>
                <w:rFonts w:cs="Arial"/>
              </w:rPr>
              <w:t>To enable retrieval of data in case of any event, it is recommended that monthly back up of the debt database is undertaken in the MoF server. The backup location should ensure that the database</w:t>
            </w:r>
            <w:r w:rsidRPr="00432588">
              <w:rPr>
                <w:rFonts w:cs="Arial"/>
              </w:rPr>
              <w:t xml:space="preserve"> </w:t>
            </w:r>
            <w:r>
              <w:rPr>
                <w:rFonts w:cs="Arial"/>
              </w:rPr>
              <w:t>is</w:t>
            </w:r>
            <w:r w:rsidRPr="00432588">
              <w:rPr>
                <w:rFonts w:cs="Arial"/>
              </w:rPr>
              <w:t xml:space="preserve"> protected from incidents such as theft, fire, flood (and others)</w:t>
            </w:r>
            <w:r>
              <w:rPr>
                <w:rFonts w:cs="Arial"/>
              </w:rPr>
              <w:t xml:space="preserve"> that can damage backups.</w:t>
            </w:r>
          </w:p>
        </w:tc>
        <w:tc>
          <w:tcPr>
            <w:tcW w:w="2266" w:type="dxa"/>
          </w:tcPr>
          <w:p w14:paraId="0397A937" w14:textId="64443F40" w:rsidR="008D48CF" w:rsidRDefault="008D48CF" w:rsidP="001B4FD2">
            <w:pPr>
              <w:rPr>
                <w:rFonts w:cs="Arial"/>
              </w:rPr>
            </w:pPr>
            <w:r>
              <w:rPr>
                <w:rFonts w:cs="Arial"/>
              </w:rPr>
              <w:t>December 2019</w:t>
            </w:r>
          </w:p>
        </w:tc>
      </w:tr>
      <w:tr w:rsidR="008D48CF" w14:paraId="23448C10" w14:textId="77777777" w:rsidTr="001B4FD2">
        <w:tc>
          <w:tcPr>
            <w:tcW w:w="2265" w:type="dxa"/>
            <w:vMerge w:val="restart"/>
          </w:tcPr>
          <w:p w14:paraId="241A6A1F" w14:textId="298BBC83" w:rsidR="008D48CF" w:rsidRDefault="008D48CF" w:rsidP="001B4FD2">
            <w:pPr>
              <w:rPr>
                <w:rFonts w:cs="Arial"/>
              </w:rPr>
            </w:pPr>
            <w:r>
              <w:rPr>
                <w:rFonts w:cs="Arial"/>
              </w:rPr>
              <w:t>Debt Payments</w:t>
            </w:r>
          </w:p>
        </w:tc>
        <w:tc>
          <w:tcPr>
            <w:tcW w:w="4531" w:type="dxa"/>
          </w:tcPr>
          <w:p w14:paraId="2465EE12" w14:textId="77777777" w:rsidR="008D48CF" w:rsidRDefault="008D48CF" w:rsidP="001B4FD2">
            <w:pPr>
              <w:rPr>
                <w:rFonts w:cs="Arial"/>
              </w:rPr>
            </w:pPr>
            <w:r>
              <w:rPr>
                <w:rFonts w:cs="Arial"/>
              </w:rPr>
              <w:t>Prepare all debt payment orders electronically.</w:t>
            </w:r>
          </w:p>
        </w:tc>
        <w:tc>
          <w:tcPr>
            <w:tcW w:w="2266" w:type="dxa"/>
          </w:tcPr>
          <w:p w14:paraId="756AF4F7" w14:textId="77777777" w:rsidR="008D48CF" w:rsidRDefault="008D48CF" w:rsidP="001B4FD2">
            <w:pPr>
              <w:rPr>
                <w:rFonts w:cs="Arial"/>
              </w:rPr>
            </w:pPr>
            <w:r>
              <w:rPr>
                <w:rFonts w:cs="Arial"/>
              </w:rPr>
              <w:t>December 2018</w:t>
            </w:r>
          </w:p>
        </w:tc>
      </w:tr>
      <w:tr w:rsidR="008D48CF" w14:paraId="49E5ECD4" w14:textId="77777777" w:rsidTr="001B4FD2">
        <w:tc>
          <w:tcPr>
            <w:tcW w:w="2265" w:type="dxa"/>
            <w:vMerge/>
          </w:tcPr>
          <w:p w14:paraId="17BDFDAF" w14:textId="77777777" w:rsidR="008D48CF" w:rsidRDefault="008D48CF" w:rsidP="001B4FD2">
            <w:pPr>
              <w:rPr>
                <w:rFonts w:cs="Arial"/>
              </w:rPr>
            </w:pPr>
          </w:p>
        </w:tc>
        <w:tc>
          <w:tcPr>
            <w:tcW w:w="4531" w:type="dxa"/>
          </w:tcPr>
          <w:p w14:paraId="6EB9DB11" w14:textId="77777777" w:rsidR="008D48CF" w:rsidRDefault="008D48CF" w:rsidP="001B4FD2">
            <w:pPr>
              <w:rPr>
                <w:rFonts w:cs="Arial"/>
              </w:rPr>
            </w:pPr>
            <w:r>
              <w:rPr>
                <w:rFonts w:cs="Arial"/>
              </w:rPr>
              <w:t xml:space="preserve">As a long-term, process payment orders through a Straight-Through-Processing (STP) payment system. </w:t>
            </w:r>
          </w:p>
        </w:tc>
        <w:tc>
          <w:tcPr>
            <w:tcW w:w="2266" w:type="dxa"/>
          </w:tcPr>
          <w:p w14:paraId="6B1619BA" w14:textId="77777777" w:rsidR="008D48CF" w:rsidRDefault="008D48CF" w:rsidP="001B4FD2">
            <w:pPr>
              <w:rPr>
                <w:rFonts w:cs="Arial"/>
              </w:rPr>
            </w:pPr>
            <w:r>
              <w:rPr>
                <w:rFonts w:cs="Arial"/>
              </w:rPr>
              <w:t>December 2020</w:t>
            </w:r>
          </w:p>
        </w:tc>
      </w:tr>
      <w:tr w:rsidR="008D48CF" w14:paraId="57E0FB77" w14:textId="77777777" w:rsidTr="001B4FD2">
        <w:tc>
          <w:tcPr>
            <w:tcW w:w="2265" w:type="dxa"/>
            <w:vMerge/>
          </w:tcPr>
          <w:p w14:paraId="14BB6F63" w14:textId="77777777" w:rsidR="008D48CF" w:rsidRDefault="008D48CF" w:rsidP="001B4FD2">
            <w:pPr>
              <w:rPr>
                <w:rFonts w:cs="Arial"/>
              </w:rPr>
            </w:pPr>
          </w:p>
        </w:tc>
        <w:tc>
          <w:tcPr>
            <w:tcW w:w="4531" w:type="dxa"/>
          </w:tcPr>
          <w:p w14:paraId="75ACF1CB" w14:textId="77777777" w:rsidR="008D48CF" w:rsidRPr="008923AE" w:rsidRDefault="008D48CF" w:rsidP="001B4FD2">
            <w:pPr>
              <w:rPr>
                <w:rFonts w:cs="Arial"/>
              </w:rPr>
            </w:pPr>
            <w:r>
              <w:rPr>
                <w:rFonts w:cs="Arial"/>
              </w:rPr>
              <w:t>Review annually written procedures for debt servicing.</w:t>
            </w:r>
          </w:p>
          <w:p w14:paraId="06C4E7DE" w14:textId="77777777" w:rsidR="008D48CF" w:rsidRDefault="008D48CF" w:rsidP="001B4FD2">
            <w:pPr>
              <w:rPr>
                <w:rFonts w:cs="Arial"/>
              </w:rPr>
            </w:pPr>
          </w:p>
        </w:tc>
        <w:tc>
          <w:tcPr>
            <w:tcW w:w="2266" w:type="dxa"/>
          </w:tcPr>
          <w:p w14:paraId="4AFFF183" w14:textId="77777777" w:rsidR="008D48CF" w:rsidRDefault="008D48CF" w:rsidP="001B4FD2">
            <w:pPr>
              <w:rPr>
                <w:rFonts w:cs="Arial"/>
              </w:rPr>
            </w:pPr>
            <w:r>
              <w:rPr>
                <w:rFonts w:cs="Arial"/>
              </w:rPr>
              <w:t>December 2018</w:t>
            </w:r>
          </w:p>
        </w:tc>
      </w:tr>
      <w:tr w:rsidR="001900E3" w14:paraId="037EE7AC" w14:textId="77777777" w:rsidTr="001B4FD2">
        <w:tc>
          <w:tcPr>
            <w:tcW w:w="2265" w:type="dxa"/>
          </w:tcPr>
          <w:p w14:paraId="6D1BEC01" w14:textId="77777777" w:rsidR="001900E3" w:rsidRDefault="001900E3" w:rsidP="001B4FD2">
            <w:pPr>
              <w:rPr>
                <w:rFonts w:cs="Arial"/>
              </w:rPr>
            </w:pPr>
            <w:r>
              <w:rPr>
                <w:rFonts w:cs="Arial"/>
              </w:rPr>
              <w:t>Treasury Direct</w:t>
            </w:r>
          </w:p>
        </w:tc>
        <w:tc>
          <w:tcPr>
            <w:tcW w:w="4531" w:type="dxa"/>
          </w:tcPr>
          <w:p w14:paraId="6339D228" w14:textId="77777777" w:rsidR="001900E3" w:rsidRDefault="001900E3" w:rsidP="001B4FD2">
            <w:pPr>
              <w:rPr>
                <w:rFonts w:cs="Arial"/>
              </w:rPr>
            </w:pPr>
            <w:r>
              <w:rPr>
                <w:rFonts w:cs="Arial"/>
              </w:rPr>
              <w:t>Separate the back (</w:t>
            </w:r>
            <w:r w:rsidRPr="00D401D5">
              <w:rPr>
                <w:rFonts w:cs="Arial"/>
              </w:rPr>
              <w:t>confirm the transaction and administrate the website</w:t>
            </w:r>
            <w:r>
              <w:rPr>
                <w:rFonts w:cs="Arial"/>
              </w:rPr>
              <w:t xml:space="preserve">) and front (register the securities) office functions on </w:t>
            </w:r>
            <w:r w:rsidRPr="008D06BA">
              <w:rPr>
                <w:rFonts w:cs="Arial"/>
              </w:rPr>
              <w:t>retail debt program</w:t>
            </w:r>
            <w:r>
              <w:rPr>
                <w:rFonts w:cs="Arial"/>
              </w:rPr>
              <w:t xml:space="preserve"> within Treasury Direct.</w:t>
            </w:r>
          </w:p>
        </w:tc>
        <w:tc>
          <w:tcPr>
            <w:tcW w:w="2266" w:type="dxa"/>
          </w:tcPr>
          <w:p w14:paraId="3C4022AC" w14:textId="77777777" w:rsidR="001900E3" w:rsidRDefault="001900E3" w:rsidP="001B4FD2">
            <w:pPr>
              <w:rPr>
                <w:rFonts w:cs="Arial"/>
              </w:rPr>
            </w:pPr>
            <w:r>
              <w:rPr>
                <w:rFonts w:cs="Arial"/>
              </w:rPr>
              <w:t>December 2018</w:t>
            </w:r>
          </w:p>
        </w:tc>
      </w:tr>
      <w:tr w:rsidR="001900E3" w14:paraId="5B2496A7" w14:textId="77777777" w:rsidTr="001B4FD2">
        <w:tc>
          <w:tcPr>
            <w:tcW w:w="2265" w:type="dxa"/>
          </w:tcPr>
          <w:p w14:paraId="368A5407" w14:textId="77777777" w:rsidR="001900E3" w:rsidRDefault="001900E3" w:rsidP="001B4FD2">
            <w:pPr>
              <w:rPr>
                <w:rFonts w:cs="Arial"/>
              </w:rPr>
            </w:pPr>
          </w:p>
        </w:tc>
        <w:tc>
          <w:tcPr>
            <w:tcW w:w="4531" w:type="dxa"/>
          </w:tcPr>
          <w:p w14:paraId="73C66044" w14:textId="77777777" w:rsidR="001900E3" w:rsidRDefault="001900E3" w:rsidP="001B4FD2">
            <w:pPr>
              <w:rPr>
                <w:rFonts w:cs="Arial"/>
              </w:rPr>
            </w:pPr>
            <w:r w:rsidRPr="0033249A">
              <w:rPr>
                <w:rFonts w:cs="Arial"/>
              </w:rPr>
              <w:t>Produce reliable reports within “Depend” system to avoid Treasury Direct Unit to recalculate the figures in an Excel spreadsheet.</w:t>
            </w:r>
          </w:p>
        </w:tc>
        <w:tc>
          <w:tcPr>
            <w:tcW w:w="2266" w:type="dxa"/>
          </w:tcPr>
          <w:p w14:paraId="1C67F4BC" w14:textId="77777777" w:rsidR="001900E3" w:rsidRDefault="001900E3" w:rsidP="001B4FD2">
            <w:pPr>
              <w:rPr>
                <w:rFonts w:cs="Arial"/>
              </w:rPr>
            </w:pPr>
            <w:r>
              <w:rPr>
                <w:rFonts w:cs="Arial"/>
              </w:rPr>
              <w:t>December 2018</w:t>
            </w:r>
          </w:p>
        </w:tc>
      </w:tr>
      <w:tr w:rsidR="001900E3" w14:paraId="2A2D37BC" w14:textId="77777777" w:rsidTr="001B4FD2">
        <w:tc>
          <w:tcPr>
            <w:tcW w:w="2265" w:type="dxa"/>
          </w:tcPr>
          <w:p w14:paraId="25B47403" w14:textId="77777777" w:rsidR="001900E3" w:rsidRDefault="001900E3" w:rsidP="001B4FD2">
            <w:pPr>
              <w:rPr>
                <w:rFonts w:cs="Arial"/>
              </w:rPr>
            </w:pPr>
          </w:p>
        </w:tc>
        <w:tc>
          <w:tcPr>
            <w:tcW w:w="4531" w:type="dxa"/>
          </w:tcPr>
          <w:p w14:paraId="16D36DC9" w14:textId="77777777" w:rsidR="001900E3" w:rsidRPr="0033249A" w:rsidRDefault="001900E3" w:rsidP="001B4FD2">
            <w:pPr>
              <w:rPr>
                <w:rFonts w:cs="Arial"/>
              </w:rPr>
            </w:pPr>
            <w:r>
              <w:rPr>
                <w:rFonts w:cs="Arial"/>
              </w:rPr>
              <w:t>Establish</w:t>
            </w:r>
            <w:r w:rsidRPr="0033249A">
              <w:rPr>
                <w:rFonts w:cs="Arial"/>
              </w:rPr>
              <w:t xml:space="preserve"> </w:t>
            </w:r>
            <w:r>
              <w:rPr>
                <w:rFonts w:cs="Arial"/>
              </w:rPr>
              <w:t xml:space="preserve">a </w:t>
            </w:r>
            <w:r w:rsidRPr="0033249A">
              <w:rPr>
                <w:rFonts w:cs="Arial"/>
              </w:rPr>
              <w:t>backup solution using the old paper-based process</w:t>
            </w:r>
            <w:r>
              <w:rPr>
                <w:rFonts w:cs="Arial"/>
              </w:rPr>
              <w:t xml:space="preserve"> to </w:t>
            </w:r>
            <w:r w:rsidRPr="00B3490E">
              <w:rPr>
                <w:rFonts w:cs="Arial"/>
              </w:rPr>
              <w:t>register securities purchase</w:t>
            </w:r>
            <w:r>
              <w:rPr>
                <w:rFonts w:cs="Arial"/>
              </w:rPr>
              <w:t>s</w:t>
            </w:r>
            <w:r w:rsidRPr="00B3490E">
              <w:rPr>
                <w:rFonts w:cs="Arial"/>
              </w:rPr>
              <w:t xml:space="preserve"> and update outstanding amounts</w:t>
            </w:r>
            <w:r>
              <w:rPr>
                <w:rFonts w:cs="Arial"/>
              </w:rPr>
              <w:t xml:space="preserve"> of individual holdings</w:t>
            </w:r>
            <w:r w:rsidRPr="0033249A">
              <w:rPr>
                <w:rFonts w:cs="Arial"/>
              </w:rPr>
              <w:t>, in case of technology failure, to allow exceptionally.</w:t>
            </w:r>
          </w:p>
          <w:p w14:paraId="48277190" w14:textId="77777777" w:rsidR="001900E3" w:rsidRDefault="001900E3" w:rsidP="001B4FD2">
            <w:pPr>
              <w:rPr>
                <w:rFonts w:cs="Arial"/>
              </w:rPr>
            </w:pPr>
          </w:p>
        </w:tc>
        <w:tc>
          <w:tcPr>
            <w:tcW w:w="2266" w:type="dxa"/>
          </w:tcPr>
          <w:p w14:paraId="2C3C8E56" w14:textId="77777777" w:rsidR="001900E3" w:rsidRDefault="001900E3" w:rsidP="001B4FD2">
            <w:pPr>
              <w:rPr>
                <w:rFonts w:cs="Arial"/>
              </w:rPr>
            </w:pPr>
            <w:r>
              <w:rPr>
                <w:rFonts w:cs="Arial"/>
              </w:rPr>
              <w:t>December 2018</w:t>
            </w:r>
          </w:p>
        </w:tc>
      </w:tr>
      <w:tr w:rsidR="001900E3" w14:paraId="3D8F8429" w14:textId="77777777" w:rsidTr="001B4FD2">
        <w:tc>
          <w:tcPr>
            <w:tcW w:w="2265" w:type="dxa"/>
          </w:tcPr>
          <w:p w14:paraId="23BFED82" w14:textId="77777777" w:rsidR="001900E3" w:rsidRDefault="001900E3" w:rsidP="001B4FD2">
            <w:pPr>
              <w:rPr>
                <w:rFonts w:cs="Arial"/>
              </w:rPr>
            </w:pPr>
            <w:r>
              <w:rPr>
                <w:rFonts w:cs="Arial"/>
              </w:rPr>
              <w:t>ORM Framework</w:t>
            </w:r>
          </w:p>
        </w:tc>
        <w:tc>
          <w:tcPr>
            <w:tcW w:w="4531" w:type="dxa"/>
          </w:tcPr>
          <w:p w14:paraId="15074F46" w14:textId="0482A3A4" w:rsidR="001900E3" w:rsidRDefault="001900E3" w:rsidP="001B4FD2">
            <w:pPr>
              <w:rPr>
                <w:rFonts w:cs="Arial"/>
              </w:rPr>
            </w:pPr>
            <w:r>
              <w:rPr>
                <w:rFonts w:cs="Arial"/>
              </w:rPr>
              <w:t>PDMD establishes a formal operational risk management structure, which is the foundation of the ORM framework.</w:t>
            </w:r>
            <w:r w:rsidR="00B5565B">
              <w:rPr>
                <w:rFonts w:cs="Arial"/>
              </w:rPr>
              <w:t xml:space="preserve"> This should include: 1) understanding and documenting main business activities; identifying, assessing and measuring operational risks; 3) developing several risk management strategies to prevent, reduce or sustain risks; </w:t>
            </w:r>
            <w:r w:rsidR="00964FA8">
              <w:rPr>
                <w:rFonts w:cs="Arial"/>
              </w:rPr>
              <w:t>4) implementation of risk management strategies; 5) monitor the performance of each unit; 6) continuously improving ORM; and 7) reporting on ORM.</w:t>
            </w:r>
          </w:p>
        </w:tc>
        <w:tc>
          <w:tcPr>
            <w:tcW w:w="2266" w:type="dxa"/>
          </w:tcPr>
          <w:p w14:paraId="5478E900" w14:textId="77777777" w:rsidR="001900E3" w:rsidRDefault="001900E3" w:rsidP="001B4FD2">
            <w:pPr>
              <w:rPr>
                <w:rFonts w:cs="Arial"/>
              </w:rPr>
            </w:pPr>
            <w:r>
              <w:rPr>
                <w:rFonts w:cs="Arial"/>
              </w:rPr>
              <w:t>December 2018</w:t>
            </w:r>
          </w:p>
        </w:tc>
      </w:tr>
      <w:tr w:rsidR="001900E3" w14:paraId="637F186C" w14:textId="77777777" w:rsidTr="001B4FD2">
        <w:tc>
          <w:tcPr>
            <w:tcW w:w="2265" w:type="dxa"/>
          </w:tcPr>
          <w:p w14:paraId="45CDE698" w14:textId="77777777" w:rsidR="001900E3" w:rsidRDefault="001900E3" w:rsidP="001B4FD2">
            <w:pPr>
              <w:rPr>
                <w:rFonts w:cs="Arial"/>
              </w:rPr>
            </w:pPr>
          </w:p>
        </w:tc>
        <w:tc>
          <w:tcPr>
            <w:tcW w:w="4531" w:type="dxa"/>
          </w:tcPr>
          <w:p w14:paraId="2E20C22B" w14:textId="417D10FA" w:rsidR="000B5737" w:rsidRDefault="001900E3" w:rsidP="000B5737">
            <w:pPr>
              <w:rPr>
                <w:rFonts w:cs="Arial"/>
              </w:rPr>
            </w:pPr>
            <w:r>
              <w:rPr>
                <w:rFonts w:cs="Arial"/>
              </w:rPr>
              <w:t xml:space="preserve">Monitor the performance of each unit within PDMD through a first level monitoring, where </w:t>
            </w:r>
            <w:r w:rsidR="000B5737">
              <w:rPr>
                <w:rFonts w:cs="Arial"/>
              </w:rPr>
              <w:t>each unit will monitor its own operational risks and report continuously on incidents, improvements, new risks identified to the unit Head and MO Head directly of any incidents experienced. Reporting should be based on a standardized template. The MO will be responsible for responsible for coordinating with the other units and filing units’ messages.</w:t>
            </w:r>
          </w:p>
          <w:p w14:paraId="07143CEC" w14:textId="452DBF1F" w:rsidR="001900E3" w:rsidRDefault="001900E3" w:rsidP="001B4FD2">
            <w:pPr>
              <w:rPr>
                <w:rFonts w:cs="Arial"/>
              </w:rPr>
            </w:pPr>
            <w:r>
              <w:rPr>
                <w:rFonts w:cs="Arial"/>
              </w:rPr>
              <w:t>.</w:t>
            </w:r>
          </w:p>
        </w:tc>
        <w:tc>
          <w:tcPr>
            <w:tcW w:w="2266" w:type="dxa"/>
          </w:tcPr>
          <w:p w14:paraId="2E71EC32" w14:textId="77777777" w:rsidR="001900E3" w:rsidRDefault="001900E3" w:rsidP="001B4FD2">
            <w:pPr>
              <w:rPr>
                <w:rFonts w:cs="Arial"/>
              </w:rPr>
            </w:pPr>
            <w:r>
              <w:rPr>
                <w:rFonts w:cs="Arial"/>
              </w:rPr>
              <w:t>December 2018</w:t>
            </w:r>
          </w:p>
        </w:tc>
      </w:tr>
      <w:tr w:rsidR="001900E3" w14:paraId="1BD1AD4A" w14:textId="77777777" w:rsidTr="001B4FD2">
        <w:tc>
          <w:tcPr>
            <w:tcW w:w="2265" w:type="dxa"/>
          </w:tcPr>
          <w:p w14:paraId="1DD8D468" w14:textId="77777777" w:rsidR="001900E3" w:rsidRDefault="001900E3" w:rsidP="001B4FD2">
            <w:pPr>
              <w:rPr>
                <w:rFonts w:cs="Arial"/>
              </w:rPr>
            </w:pPr>
          </w:p>
        </w:tc>
        <w:tc>
          <w:tcPr>
            <w:tcW w:w="4531" w:type="dxa"/>
          </w:tcPr>
          <w:p w14:paraId="22596636" w14:textId="22C91EE2" w:rsidR="001900E3" w:rsidRDefault="006C226B" w:rsidP="001B4FD2">
            <w:pPr>
              <w:rPr>
                <w:rFonts w:cs="Arial"/>
              </w:rPr>
            </w:pPr>
            <w:r>
              <w:rPr>
                <w:rFonts w:cs="Arial"/>
              </w:rPr>
              <w:t>Organize regular meetings on risk management with the heads of the other units and the Director – once a quarter  – and monitor if the decisions taken during these meetings are implemented</w:t>
            </w:r>
            <w:r w:rsidR="00993FCD">
              <w:rPr>
                <w:rFonts w:cs="Arial"/>
              </w:rPr>
              <w:t>.</w:t>
            </w:r>
          </w:p>
        </w:tc>
        <w:tc>
          <w:tcPr>
            <w:tcW w:w="2266" w:type="dxa"/>
          </w:tcPr>
          <w:p w14:paraId="5AB2E395" w14:textId="77777777" w:rsidR="001900E3" w:rsidRDefault="001900E3" w:rsidP="001B4FD2">
            <w:pPr>
              <w:rPr>
                <w:rFonts w:cs="Arial"/>
              </w:rPr>
            </w:pPr>
            <w:r>
              <w:rPr>
                <w:rFonts w:cs="Arial"/>
              </w:rPr>
              <w:t>December 2018</w:t>
            </w:r>
          </w:p>
        </w:tc>
      </w:tr>
      <w:tr w:rsidR="001900E3" w14:paraId="6A99271F" w14:textId="77777777" w:rsidTr="001B4FD2">
        <w:tc>
          <w:tcPr>
            <w:tcW w:w="2265" w:type="dxa"/>
          </w:tcPr>
          <w:p w14:paraId="55F1A169" w14:textId="77777777" w:rsidR="001900E3" w:rsidRDefault="001900E3" w:rsidP="001B4FD2">
            <w:pPr>
              <w:rPr>
                <w:rFonts w:cs="Arial"/>
              </w:rPr>
            </w:pPr>
          </w:p>
        </w:tc>
        <w:tc>
          <w:tcPr>
            <w:tcW w:w="4531" w:type="dxa"/>
          </w:tcPr>
          <w:p w14:paraId="31CA1575" w14:textId="77777777" w:rsidR="001900E3" w:rsidRDefault="001900E3" w:rsidP="001B4FD2">
            <w:pPr>
              <w:rPr>
                <w:rFonts w:cs="Arial"/>
              </w:rPr>
            </w:pPr>
            <w:r>
              <w:rPr>
                <w:rFonts w:cs="Arial"/>
              </w:rPr>
              <w:t>Through a second level, the MO within PDMD would report directly to senior management and prepare annually a formal ORM report to the risk management committee of the MoF</w:t>
            </w:r>
          </w:p>
        </w:tc>
        <w:tc>
          <w:tcPr>
            <w:tcW w:w="2266" w:type="dxa"/>
          </w:tcPr>
          <w:p w14:paraId="30A5FAF4" w14:textId="77777777" w:rsidR="001900E3" w:rsidRDefault="001900E3" w:rsidP="001B4FD2">
            <w:pPr>
              <w:rPr>
                <w:rFonts w:cs="Arial"/>
              </w:rPr>
            </w:pPr>
            <w:r>
              <w:rPr>
                <w:rFonts w:cs="Arial"/>
              </w:rPr>
              <w:t>December 2019</w:t>
            </w:r>
          </w:p>
        </w:tc>
      </w:tr>
      <w:tr w:rsidR="00A22018" w14:paraId="7E568E15" w14:textId="77777777" w:rsidTr="001B4FD2">
        <w:tc>
          <w:tcPr>
            <w:tcW w:w="2265" w:type="dxa"/>
          </w:tcPr>
          <w:p w14:paraId="33FC7F97" w14:textId="77777777" w:rsidR="00A22018" w:rsidRDefault="00A22018" w:rsidP="001B4FD2">
            <w:pPr>
              <w:rPr>
                <w:rFonts w:cs="Arial"/>
              </w:rPr>
            </w:pPr>
          </w:p>
        </w:tc>
        <w:tc>
          <w:tcPr>
            <w:tcW w:w="4531" w:type="dxa"/>
          </w:tcPr>
          <w:p w14:paraId="78B78FFB" w14:textId="2BF77129" w:rsidR="00A22018" w:rsidRDefault="00A22018" w:rsidP="001B4FD2">
            <w:pPr>
              <w:rPr>
                <w:rFonts w:cs="Arial"/>
              </w:rPr>
            </w:pPr>
            <w:r>
              <w:rPr>
                <w:rFonts w:cs="Arial"/>
              </w:rPr>
              <w:t>Consolidate information on and monitor all types of operational risks across PDMD and report on major risks to the Deputy Minister for suitable action and resolution</w:t>
            </w:r>
          </w:p>
        </w:tc>
        <w:tc>
          <w:tcPr>
            <w:tcW w:w="2266" w:type="dxa"/>
          </w:tcPr>
          <w:p w14:paraId="351B9602" w14:textId="0BE34AAF" w:rsidR="00A22018" w:rsidRDefault="00A22018" w:rsidP="001B4FD2">
            <w:pPr>
              <w:rPr>
                <w:rFonts w:cs="Arial"/>
              </w:rPr>
            </w:pPr>
            <w:r>
              <w:rPr>
                <w:rFonts w:cs="Arial"/>
              </w:rPr>
              <w:t>December 2019</w:t>
            </w:r>
          </w:p>
        </w:tc>
      </w:tr>
      <w:tr w:rsidR="001900E3" w14:paraId="5267AA69" w14:textId="77777777" w:rsidTr="001B4FD2">
        <w:tc>
          <w:tcPr>
            <w:tcW w:w="2265" w:type="dxa"/>
          </w:tcPr>
          <w:p w14:paraId="107ED137" w14:textId="77777777" w:rsidR="001900E3" w:rsidRDefault="001900E3" w:rsidP="001B4FD2">
            <w:pPr>
              <w:rPr>
                <w:rFonts w:cs="Arial"/>
              </w:rPr>
            </w:pPr>
          </w:p>
        </w:tc>
        <w:tc>
          <w:tcPr>
            <w:tcW w:w="4531" w:type="dxa"/>
          </w:tcPr>
          <w:p w14:paraId="3B98D0C4" w14:textId="708DCBBD" w:rsidR="00993FCD" w:rsidRDefault="00993FCD" w:rsidP="00993FCD">
            <w:pPr>
              <w:rPr>
                <w:rFonts w:cs="Arial"/>
              </w:rPr>
            </w:pPr>
            <w:r>
              <w:rPr>
                <w:rFonts w:cs="Arial"/>
              </w:rPr>
              <w:t xml:space="preserve">MO will report on overall operational risks and compliance on the Business Continuity Plan to the Director PDMD through an annual report, whereby any existing risks of major or significant category will be required to be flagged to the Deputy Minister for suitable action and resolution. Based on the availability of resources within PDMD, such reporting could be subsequently extended to quarterly reports,  </w:t>
            </w:r>
          </w:p>
          <w:p w14:paraId="6C2CF59B" w14:textId="167922B3" w:rsidR="001900E3" w:rsidRDefault="001900E3" w:rsidP="001B4FD2">
            <w:pPr>
              <w:rPr>
                <w:rFonts w:cs="Arial"/>
              </w:rPr>
            </w:pPr>
            <w:r>
              <w:rPr>
                <w:rFonts w:cs="Arial"/>
              </w:rPr>
              <w:t>.</w:t>
            </w:r>
          </w:p>
          <w:p w14:paraId="13D73838" w14:textId="77777777" w:rsidR="001900E3" w:rsidRDefault="001900E3" w:rsidP="001B4FD2">
            <w:pPr>
              <w:rPr>
                <w:rFonts w:cs="Arial"/>
              </w:rPr>
            </w:pPr>
          </w:p>
        </w:tc>
        <w:tc>
          <w:tcPr>
            <w:tcW w:w="2266" w:type="dxa"/>
          </w:tcPr>
          <w:p w14:paraId="42946807" w14:textId="77777777" w:rsidR="001900E3" w:rsidRDefault="001900E3" w:rsidP="001B4FD2">
            <w:pPr>
              <w:rPr>
                <w:rFonts w:cs="Arial"/>
              </w:rPr>
            </w:pPr>
            <w:r>
              <w:rPr>
                <w:rFonts w:cs="Arial"/>
              </w:rPr>
              <w:t>December 2019</w:t>
            </w:r>
          </w:p>
        </w:tc>
      </w:tr>
      <w:tr w:rsidR="001900E3" w14:paraId="4584E59D" w14:textId="77777777" w:rsidTr="001B4FD2">
        <w:tc>
          <w:tcPr>
            <w:tcW w:w="9062" w:type="dxa"/>
            <w:gridSpan w:val="3"/>
          </w:tcPr>
          <w:p w14:paraId="6E015E20" w14:textId="77777777" w:rsidR="001900E3" w:rsidRDefault="001900E3" w:rsidP="001B4FD2">
            <w:pPr>
              <w:rPr>
                <w:rFonts w:cs="Arial"/>
              </w:rPr>
            </w:pPr>
            <w:r>
              <w:rPr>
                <w:rFonts w:cs="Arial"/>
              </w:rPr>
              <w:t>Information Technology, Infrastructural and Human Resource Issues:</w:t>
            </w:r>
          </w:p>
        </w:tc>
      </w:tr>
      <w:tr w:rsidR="001900E3" w14:paraId="14E320F3" w14:textId="77777777" w:rsidTr="001B4FD2">
        <w:tc>
          <w:tcPr>
            <w:tcW w:w="2265" w:type="dxa"/>
          </w:tcPr>
          <w:p w14:paraId="7405CC63" w14:textId="4E6880BF" w:rsidR="001900E3" w:rsidRDefault="007479FA" w:rsidP="001B4FD2">
            <w:pPr>
              <w:rPr>
                <w:rFonts w:cs="Arial"/>
              </w:rPr>
            </w:pPr>
            <w:r>
              <w:rPr>
                <w:rFonts w:cs="Arial"/>
              </w:rPr>
              <w:t>Disruption</w:t>
            </w:r>
          </w:p>
        </w:tc>
        <w:tc>
          <w:tcPr>
            <w:tcW w:w="4531" w:type="dxa"/>
          </w:tcPr>
          <w:p w14:paraId="1D7EF6AA" w14:textId="77777777" w:rsidR="001900E3" w:rsidRDefault="001900E3" w:rsidP="001B4FD2">
            <w:pPr>
              <w:rPr>
                <w:rFonts w:cs="Arial"/>
              </w:rPr>
            </w:pPr>
            <w:r>
              <w:rPr>
                <w:rFonts w:cs="Arial"/>
              </w:rPr>
              <w:t>Establish operational recovery site outside Yerevan where the PDMD staff could work in the event of a major disruption in the main building.</w:t>
            </w:r>
          </w:p>
        </w:tc>
        <w:tc>
          <w:tcPr>
            <w:tcW w:w="2266" w:type="dxa"/>
          </w:tcPr>
          <w:p w14:paraId="2AC9A59C" w14:textId="77777777" w:rsidR="001900E3" w:rsidRDefault="001900E3" w:rsidP="001B4FD2">
            <w:pPr>
              <w:rPr>
                <w:rFonts w:cs="Arial"/>
              </w:rPr>
            </w:pPr>
            <w:r>
              <w:rPr>
                <w:rFonts w:cs="Arial"/>
              </w:rPr>
              <w:t>December 2019</w:t>
            </w:r>
          </w:p>
        </w:tc>
      </w:tr>
      <w:tr w:rsidR="001900E3" w14:paraId="6795EA9E" w14:textId="77777777" w:rsidTr="001B4FD2">
        <w:tc>
          <w:tcPr>
            <w:tcW w:w="2265" w:type="dxa"/>
          </w:tcPr>
          <w:p w14:paraId="6873C47F" w14:textId="77777777" w:rsidR="001900E3" w:rsidRDefault="001900E3" w:rsidP="001B4FD2">
            <w:pPr>
              <w:rPr>
                <w:rFonts w:cs="Arial"/>
              </w:rPr>
            </w:pPr>
          </w:p>
        </w:tc>
        <w:tc>
          <w:tcPr>
            <w:tcW w:w="4531" w:type="dxa"/>
          </w:tcPr>
          <w:p w14:paraId="3C461B25" w14:textId="77777777" w:rsidR="001900E3" w:rsidRDefault="001900E3" w:rsidP="001B4FD2">
            <w:pPr>
              <w:rPr>
                <w:rFonts w:cs="Arial"/>
              </w:rPr>
            </w:pPr>
            <w:r w:rsidRPr="0026344B">
              <w:rPr>
                <w:rFonts w:cs="Arial"/>
              </w:rPr>
              <w:t xml:space="preserve">The IT Department </w:t>
            </w:r>
            <w:r>
              <w:rPr>
                <w:rFonts w:cs="Arial"/>
              </w:rPr>
              <w:t>should</w:t>
            </w:r>
            <w:r w:rsidRPr="0026344B">
              <w:rPr>
                <w:rFonts w:cs="Arial"/>
              </w:rPr>
              <w:t xml:space="preserve"> organize a room in the main building of the M</w:t>
            </w:r>
            <w:r>
              <w:rPr>
                <w:rFonts w:cs="Arial"/>
              </w:rPr>
              <w:t>oF</w:t>
            </w:r>
            <w:r w:rsidRPr="0026344B">
              <w:rPr>
                <w:rFonts w:cs="Arial"/>
              </w:rPr>
              <w:t xml:space="preserve"> (Melik Adamyan) to relocate staff </w:t>
            </w:r>
            <w:r>
              <w:rPr>
                <w:rFonts w:cs="Arial"/>
              </w:rPr>
              <w:t xml:space="preserve">of PDMD </w:t>
            </w:r>
            <w:r w:rsidRPr="0026344B">
              <w:rPr>
                <w:rFonts w:cs="Arial"/>
              </w:rPr>
              <w:t>in case of events preventing access to the PDMD’s building (Tigran Mets).</w:t>
            </w:r>
          </w:p>
        </w:tc>
        <w:tc>
          <w:tcPr>
            <w:tcW w:w="2266" w:type="dxa"/>
          </w:tcPr>
          <w:p w14:paraId="688C4091" w14:textId="77777777" w:rsidR="001900E3" w:rsidRDefault="001900E3" w:rsidP="001B4FD2">
            <w:pPr>
              <w:rPr>
                <w:rFonts w:cs="Arial"/>
              </w:rPr>
            </w:pPr>
            <w:r>
              <w:rPr>
                <w:rFonts w:cs="Arial"/>
              </w:rPr>
              <w:t>December 2018</w:t>
            </w:r>
          </w:p>
        </w:tc>
      </w:tr>
      <w:tr w:rsidR="001900E3" w14:paraId="50001864" w14:textId="77777777" w:rsidTr="001B4FD2">
        <w:tc>
          <w:tcPr>
            <w:tcW w:w="2265" w:type="dxa"/>
          </w:tcPr>
          <w:p w14:paraId="7D569778" w14:textId="77777777" w:rsidR="001900E3" w:rsidRDefault="001900E3" w:rsidP="001B4FD2">
            <w:pPr>
              <w:rPr>
                <w:rFonts w:cs="Arial"/>
              </w:rPr>
            </w:pPr>
          </w:p>
        </w:tc>
        <w:tc>
          <w:tcPr>
            <w:tcW w:w="4531" w:type="dxa"/>
          </w:tcPr>
          <w:p w14:paraId="2DDB32E9" w14:textId="4D3CD41C" w:rsidR="00D46ED2" w:rsidRPr="006C31E1" w:rsidRDefault="00D46ED2" w:rsidP="00D46ED2">
            <w:pPr>
              <w:spacing w:before="120" w:after="240"/>
              <w:rPr>
                <w:rFonts w:cs="Arial"/>
              </w:rPr>
            </w:pPr>
            <w:r w:rsidRPr="006C31E1">
              <w:rPr>
                <w:rFonts w:cs="Arial"/>
              </w:rPr>
              <w:t xml:space="preserve">The IT Department could consider giving a securitized remote access to the Ministry’s network </w:t>
            </w:r>
            <w:r>
              <w:rPr>
                <w:rFonts w:cs="Arial"/>
              </w:rPr>
              <w:t xml:space="preserve">for PDMD documents as a “read-only” facility to all </w:t>
            </w:r>
            <w:r w:rsidRPr="006C31E1">
              <w:rPr>
                <w:rFonts w:cs="Arial"/>
              </w:rPr>
              <w:t xml:space="preserve">staff of the PDMD. </w:t>
            </w:r>
            <w:r>
              <w:rPr>
                <w:rFonts w:cs="Arial"/>
              </w:rPr>
              <w:t>PDMD</w:t>
            </w:r>
            <w:r w:rsidRPr="006C31E1">
              <w:rPr>
                <w:rFonts w:cs="Arial"/>
              </w:rPr>
              <w:t xml:space="preserve"> staff could use this remote access in case of contingencies</w:t>
            </w:r>
            <w:r>
              <w:rPr>
                <w:rFonts w:cs="Arial"/>
              </w:rPr>
              <w:t xml:space="preserve"> </w:t>
            </w:r>
            <w:r w:rsidRPr="006C31E1">
              <w:rPr>
                <w:rFonts w:cs="Arial"/>
              </w:rPr>
              <w:t>and work from home afterhours.</w:t>
            </w:r>
          </w:p>
          <w:p w14:paraId="7DFDE242" w14:textId="0927FDB3" w:rsidR="001900E3" w:rsidRDefault="001900E3" w:rsidP="001B4FD2">
            <w:pPr>
              <w:rPr>
                <w:rFonts w:cs="Arial"/>
              </w:rPr>
            </w:pPr>
          </w:p>
        </w:tc>
        <w:tc>
          <w:tcPr>
            <w:tcW w:w="2266" w:type="dxa"/>
          </w:tcPr>
          <w:p w14:paraId="0FDDEDFF" w14:textId="77777777" w:rsidR="001900E3" w:rsidRDefault="001900E3" w:rsidP="001B4FD2">
            <w:pPr>
              <w:rPr>
                <w:rFonts w:cs="Arial"/>
              </w:rPr>
            </w:pPr>
            <w:r>
              <w:rPr>
                <w:rFonts w:cs="Arial"/>
              </w:rPr>
              <w:t>December 2018</w:t>
            </w:r>
          </w:p>
        </w:tc>
      </w:tr>
      <w:tr w:rsidR="001900E3" w14:paraId="7626712A" w14:textId="77777777" w:rsidTr="001B4FD2">
        <w:tc>
          <w:tcPr>
            <w:tcW w:w="2265" w:type="dxa"/>
            <w:vMerge w:val="restart"/>
          </w:tcPr>
          <w:p w14:paraId="2EB49C7B" w14:textId="77777777" w:rsidR="001900E3" w:rsidRDefault="001900E3" w:rsidP="001B4FD2">
            <w:pPr>
              <w:rPr>
                <w:rFonts w:cs="Arial"/>
              </w:rPr>
            </w:pPr>
            <w:r>
              <w:rPr>
                <w:rFonts w:cs="Arial"/>
              </w:rPr>
              <w:t>Telecommunications</w:t>
            </w:r>
          </w:p>
        </w:tc>
        <w:tc>
          <w:tcPr>
            <w:tcW w:w="4531" w:type="dxa"/>
          </w:tcPr>
          <w:p w14:paraId="61E3E097" w14:textId="77777777" w:rsidR="001900E3" w:rsidRDefault="001900E3" w:rsidP="001B4FD2">
            <w:pPr>
              <w:rPr>
                <w:rFonts w:cs="Arial"/>
              </w:rPr>
            </w:pPr>
            <w:r>
              <w:rPr>
                <w:rFonts w:cs="Arial"/>
              </w:rPr>
              <w:t>Install a</w:t>
            </w:r>
            <w:r w:rsidRPr="001B3325">
              <w:rPr>
                <w:rFonts w:cs="Arial"/>
              </w:rPr>
              <w:t xml:space="preserve"> second communication line (backup line) between the Tigran Mets building and the Melik Adamyan building. This line allows connection to the Ministry’s network, telephones and Internet access.</w:t>
            </w:r>
          </w:p>
        </w:tc>
        <w:tc>
          <w:tcPr>
            <w:tcW w:w="2266" w:type="dxa"/>
          </w:tcPr>
          <w:p w14:paraId="7E2BECC0" w14:textId="77777777" w:rsidR="001900E3" w:rsidRDefault="001900E3" w:rsidP="001B4FD2">
            <w:pPr>
              <w:rPr>
                <w:rFonts w:cs="Arial"/>
              </w:rPr>
            </w:pPr>
            <w:r>
              <w:rPr>
                <w:rFonts w:cs="Arial"/>
              </w:rPr>
              <w:t>December 2018</w:t>
            </w:r>
          </w:p>
        </w:tc>
      </w:tr>
      <w:tr w:rsidR="001900E3" w14:paraId="5163DA57" w14:textId="77777777" w:rsidTr="001B4FD2">
        <w:tc>
          <w:tcPr>
            <w:tcW w:w="2265" w:type="dxa"/>
            <w:vMerge/>
          </w:tcPr>
          <w:p w14:paraId="3BD05C5B" w14:textId="77777777" w:rsidR="001900E3" w:rsidRDefault="001900E3" w:rsidP="001B4FD2">
            <w:pPr>
              <w:rPr>
                <w:rFonts w:cs="Arial"/>
              </w:rPr>
            </w:pPr>
          </w:p>
        </w:tc>
        <w:tc>
          <w:tcPr>
            <w:tcW w:w="4531" w:type="dxa"/>
          </w:tcPr>
          <w:p w14:paraId="4373F1E4" w14:textId="77777777" w:rsidR="001900E3" w:rsidRDefault="001900E3" w:rsidP="001B4FD2">
            <w:pPr>
              <w:rPr>
                <w:rFonts w:cs="Arial"/>
              </w:rPr>
            </w:pPr>
            <w:r>
              <w:rPr>
                <w:rFonts w:cs="Arial"/>
              </w:rPr>
              <w:t>I</w:t>
            </w:r>
            <w:r w:rsidRPr="001B3325">
              <w:rPr>
                <w:rFonts w:cs="Arial"/>
              </w:rPr>
              <w:t>n the long run, the MoF implement</w:t>
            </w:r>
            <w:r>
              <w:rPr>
                <w:rFonts w:cs="Arial"/>
              </w:rPr>
              <w:t>s</w:t>
            </w:r>
            <w:r w:rsidRPr="001B3325">
              <w:rPr>
                <w:rFonts w:cs="Arial"/>
              </w:rPr>
              <w:t xml:space="preserve"> a double redundancy by having </w:t>
            </w:r>
            <w:r>
              <w:rPr>
                <w:rFonts w:cs="Arial"/>
              </w:rPr>
              <w:t>the</w:t>
            </w:r>
            <w:r w:rsidRPr="001B3325">
              <w:rPr>
                <w:rFonts w:cs="Arial"/>
              </w:rPr>
              <w:t xml:space="preserve"> second line directly connected to an alternate data center</w:t>
            </w:r>
            <w:r>
              <w:rPr>
                <w:rFonts w:cs="Arial"/>
              </w:rPr>
              <w:t>.</w:t>
            </w:r>
          </w:p>
        </w:tc>
        <w:tc>
          <w:tcPr>
            <w:tcW w:w="2266" w:type="dxa"/>
          </w:tcPr>
          <w:p w14:paraId="521381B5" w14:textId="77777777" w:rsidR="001900E3" w:rsidRDefault="001900E3" w:rsidP="001B4FD2">
            <w:pPr>
              <w:rPr>
                <w:rFonts w:cs="Arial"/>
              </w:rPr>
            </w:pPr>
            <w:r>
              <w:rPr>
                <w:rFonts w:cs="Arial"/>
              </w:rPr>
              <w:t>December 2019</w:t>
            </w:r>
          </w:p>
        </w:tc>
      </w:tr>
      <w:tr w:rsidR="001900E3" w14:paraId="0DF0BAF1" w14:textId="77777777" w:rsidTr="001B4FD2">
        <w:tc>
          <w:tcPr>
            <w:tcW w:w="2265" w:type="dxa"/>
          </w:tcPr>
          <w:p w14:paraId="7EBC106C" w14:textId="77777777" w:rsidR="001900E3" w:rsidRDefault="001900E3" w:rsidP="001B4FD2">
            <w:pPr>
              <w:rPr>
                <w:rFonts w:cs="Arial"/>
              </w:rPr>
            </w:pPr>
            <w:r>
              <w:rPr>
                <w:rFonts w:cs="Arial"/>
              </w:rPr>
              <w:lastRenderedPageBreak/>
              <w:t>Power</w:t>
            </w:r>
          </w:p>
        </w:tc>
        <w:tc>
          <w:tcPr>
            <w:tcW w:w="4531" w:type="dxa"/>
          </w:tcPr>
          <w:p w14:paraId="0FCEF0C1" w14:textId="77777777" w:rsidR="001900E3" w:rsidRDefault="001900E3" w:rsidP="001B4FD2">
            <w:pPr>
              <w:rPr>
                <w:rFonts w:cs="Arial"/>
              </w:rPr>
            </w:pPr>
            <w:r w:rsidRPr="00F07C60">
              <w:rPr>
                <w:rFonts w:cs="Arial"/>
              </w:rPr>
              <w:t>An alternate electricity generator and UPS batteries should be available in the PDMD building in the case where electricity power source fails</w:t>
            </w:r>
            <w:r>
              <w:rPr>
                <w:rFonts w:cs="Arial"/>
              </w:rPr>
              <w:t xml:space="preserve"> is not uncommon</w:t>
            </w:r>
            <w:r w:rsidRPr="00F07C60">
              <w:rPr>
                <w:rFonts w:cs="Arial"/>
              </w:rPr>
              <w:t>.</w:t>
            </w:r>
          </w:p>
          <w:p w14:paraId="10F6D6C9" w14:textId="77777777" w:rsidR="001900E3" w:rsidRDefault="001900E3" w:rsidP="001B4FD2">
            <w:pPr>
              <w:rPr>
                <w:rFonts w:cs="Arial"/>
              </w:rPr>
            </w:pPr>
          </w:p>
        </w:tc>
        <w:tc>
          <w:tcPr>
            <w:tcW w:w="2266" w:type="dxa"/>
          </w:tcPr>
          <w:p w14:paraId="689A991C" w14:textId="77777777" w:rsidR="001900E3" w:rsidRDefault="001900E3" w:rsidP="001B4FD2">
            <w:pPr>
              <w:rPr>
                <w:rFonts w:cs="Arial"/>
              </w:rPr>
            </w:pPr>
            <w:r>
              <w:rPr>
                <w:rFonts w:cs="Arial"/>
              </w:rPr>
              <w:t>December 2018</w:t>
            </w:r>
          </w:p>
        </w:tc>
      </w:tr>
      <w:tr w:rsidR="00D46ED2" w14:paraId="31D30CD2" w14:textId="77777777" w:rsidTr="001B4FD2">
        <w:tc>
          <w:tcPr>
            <w:tcW w:w="2265" w:type="dxa"/>
            <w:vMerge w:val="restart"/>
          </w:tcPr>
          <w:p w14:paraId="67405503" w14:textId="77777777" w:rsidR="00D46ED2" w:rsidRDefault="00D46ED2" w:rsidP="001B4FD2">
            <w:pPr>
              <w:rPr>
                <w:rFonts w:cs="Arial"/>
              </w:rPr>
            </w:pPr>
            <w:r>
              <w:rPr>
                <w:rFonts w:cs="Arial"/>
              </w:rPr>
              <w:t>Storage</w:t>
            </w:r>
          </w:p>
        </w:tc>
        <w:tc>
          <w:tcPr>
            <w:tcW w:w="4531" w:type="dxa"/>
          </w:tcPr>
          <w:p w14:paraId="2A0A4D67" w14:textId="5E3C7845" w:rsidR="00D46ED2" w:rsidRDefault="00D46ED2" w:rsidP="001B4FD2">
            <w:pPr>
              <w:rPr>
                <w:rFonts w:cs="Arial"/>
              </w:rPr>
            </w:pPr>
            <w:r>
              <w:rPr>
                <w:rFonts w:cs="Arial"/>
              </w:rPr>
              <w:t>IT staff should ensure backups of PDMD database are performed regularly.</w:t>
            </w:r>
          </w:p>
        </w:tc>
        <w:tc>
          <w:tcPr>
            <w:tcW w:w="2266" w:type="dxa"/>
          </w:tcPr>
          <w:p w14:paraId="68481ED0" w14:textId="77777777" w:rsidR="00D46ED2" w:rsidRDefault="00D46ED2" w:rsidP="001B4FD2">
            <w:pPr>
              <w:rPr>
                <w:rFonts w:cs="Arial"/>
              </w:rPr>
            </w:pPr>
            <w:r>
              <w:rPr>
                <w:rFonts w:cs="Arial"/>
              </w:rPr>
              <w:t>December 2019</w:t>
            </w:r>
          </w:p>
        </w:tc>
      </w:tr>
      <w:tr w:rsidR="00D46ED2" w14:paraId="7399D7D1" w14:textId="77777777" w:rsidTr="001B4FD2">
        <w:tc>
          <w:tcPr>
            <w:tcW w:w="2265" w:type="dxa"/>
            <w:vMerge/>
          </w:tcPr>
          <w:p w14:paraId="5CDE51EE" w14:textId="77777777" w:rsidR="00D46ED2" w:rsidRDefault="00D46ED2" w:rsidP="001B4FD2">
            <w:pPr>
              <w:rPr>
                <w:rFonts w:cs="Arial"/>
              </w:rPr>
            </w:pPr>
          </w:p>
        </w:tc>
        <w:tc>
          <w:tcPr>
            <w:tcW w:w="4531" w:type="dxa"/>
          </w:tcPr>
          <w:p w14:paraId="6FF95BBE" w14:textId="3EA10D2B" w:rsidR="00D46ED2" w:rsidRPr="004F5E51" w:rsidRDefault="00D46ED2" w:rsidP="00D46ED2">
            <w:pPr>
              <w:rPr>
                <w:rFonts w:cs="Arial"/>
              </w:rPr>
            </w:pPr>
            <w:r w:rsidRPr="004F5E51">
              <w:rPr>
                <w:rFonts w:cs="Arial"/>
              </w:rPr>
              <w:t xml:space="preserve">PDMD can use the network of the Ministry to do backups of the </w:t>
            </w:r>
            <w:r>
              <w:rPr>
                <w:rFonts w:cs="Arial"/>
              </w:rPr>
              <w:t xml:space="preserve">debt </w:t>
            </w:r>
            <w:r w:rsidRPr="004F5E51">
              <w:rPr>
                <w:rFonts w:cs="Arial"/>
              </w:rPr>
              <w:t xml:space="preserve">database and store them </w:t>
            </w:r>
            <w:r>
              <w:rPr>
                <w:rFonts w:cs="Arial"/>
              </w:rPr>
              <w:t xml:space="preserve"> through a dedicated server in the MoF which can also be backed up in the alternative data center in Dilijan</w:t>
            </w:r>
            <w:r w:rsidRPr="004F5E51">
              <w:rPr>
                <w:rFonts w:cs="Arial"/>
              </w:rPr>
              <w:t xml:space="preserve">. </w:t>
            </w:r>
          </w:p>
          <w:p w14:paraId="57F9F7D1" w14:textId="77777777" w:rsidR="00D46ED2" w:rsidRDefault="00D46ED2" w:rsidP="001B4FD2">
            <w:pPr>
              <w:rPr>
                <w:rFonts w:cs="Arial"/>
              </w:rPr>
            </w:pPr>
          </w:p>
        </w:tc>
        <w:tc>
          <w:tcPr>
            <w:tcW w:w="2266" w:type="dxa"/>
          </w:tcPr>
          <w:p w14:paraId="2BA4FD65" w14:textId="5ECECA4E" w:rsidR="00D46ED2" w:rsidRDefault="00D46ED2" w:rsidP="001B4FD2">
            <w:pPr>
              <w:rPr>
                <w:rFonts w:cs="Arial"/>
              </w:rPr>
            </w:pPr>
            <w:r>
              <w:rPr>
                <w:rFonts w:cs="Arial"/>
              </w:rPr>
              <w:t>December 2018</w:t>
            </w:r>
          </w:p>
        </w:tc>
      </w:tr>
      <w:tr w:rsidR="001900E3" w14:paraId="2BAFD760" w14:textId="77777777" w:rsidTr="001B4FD2">
        <w:tc>
          <w:tcPr>
            <w:tcW w:w="2265" w:type="dxa"/>
          </w:tcPr>
          <w:p w14:paraId="089FA66A" w14:textId="77777777" w:rsidR="001900E3" w:rsidRDefault="001900E3" w:rsidP="001B4FD2">
            <w:pPr>
              <w:rPr>
                <w:rFonts w:cs="Arial"/>
              </w:rPr>
            </w:pPr>
            <w:r>
              <w:rPr>
                <w:rFonts w:cs="Arial"/>
              </w:rPr>
              <w:t>Training and Supervision</w:t>
            </w:r>
          </w:p>
        </w:tc>
        <w:tc>
          <w:tcPr>
            <w:tcW w:w="4531" w:type="dxa"/>
          </w:tcPr>
          <w:p w14:paraId="6FBFE6FA" w14:textId="30AAAC30" w:rsidR="001900E3" w:rsidRPr="00D35C28" w:rsidRDefault="00D46ED2" w:rsidP="001B4FD2">
            <w:pPr>
              <w:spacing w:before="120" w:after="240"/>
              <w:rPr>
                <w:rFonts w:cs="Arial"/>
              </w:rPr>
            </w:pPr>
            <w:r>
              <w:rPr>
                <w:rFonts w:cs="Arial"/>
              </w:rPr>
              <w:t xml:space="preserve">Based on </w:t>
            </w:r>
            <w:r w:rsidR="001900E3">
              <w:rPr>
                <w:rFonts w:cs="Arial"/>
              </w:rPr>
              <w:t>s</w:t>
            </w:r>
            <w:r w:rsidR="001900E3" w:rsidRPr="00D35C28">
              <w:rPr>
                <w:rFonts w:cs="Arial"/>
              </w:rPr>
              <w:t xml:space="preserve">emi-annual appraisal </w:t>
            </w:r>
            <w:r>
              <w:rPr>
                <w:rFonts w:cs="Arial"/>
              </w:rPr>
              <w:t>process</w:t>
            </w:r>
            <w:r w:rsidRPr="00D35C28">
              <w:rPr>
                <w:rFonts w:cs="Arial"/>
              </w:rPr>
              <w:t xml:space="preserve"> </w:t>
            </w:r>
            <w:r w:rsidR="001900E3">
              <w:rPr>
                <w:rFonts w:cs="Arial"/>
              </w:rPr>
              <w:t>within PDMD</w:t>
            </w:r>
            <w:r>
              <w:rPr>
                <w:rFonts w:cs="Arial"/>
              </w:rPr>
              <w:t xml:space="preserve">, a </w:t>
            </w:r>
            <w:r w:rsidRPr="000F2988">
              <w:rPr>
                <w:rFonts w:cs="Arial"/>
              </w:rPr>
              <w:t>training and development plan</w:t>
            </w:r>
            <w:r w:rsidRPr="004F69FE">
              <w:rPr>
                <w:rFonts w:cs="Arial"/>
              </w:rPr>
              <w:t xml:space="preserve"> can be prepared for each staff in consultation with them</w:t>
            </w:r>
            <w:r>
              <w:rPr>
                <w:rFonts w:cs="Arial"/>
              </w:rPr>
              <w:t>.</w:t>
            </w:r>
            <w:r w:rsidR="001900E3" w:rsidRPr="00D35C28">
              <w:rPr>
                <w:rFonts w:cs="Arial"/>
              </w:rPr>
              <w:t xml:space="preserve">. </w:t>
            </w:r>
          </w:p>
          <w:p w14:paraId="300D070C" w14:textId="77777777" w:rsidR="001900E3" w:rsidRDefault="001900E3" w:rsidP="001B4FD2">
            <w:pPr>
              <w:rPr>
                <w:rFonts w:cs="Arial"/>
              </w:rPr>
            </w:pPr>
          </w:p>
        </w:tc>
        <w:tc>
          <w:tcPr>
            <w:tcW w:w="2266" w:type="dxa"/>
          </w:tcPr>
          <w:p w14:paraId="7ED42582" w14:textId="77777777" w:rsidR="001900E3" w:rsidRDefault="001900E3" w:rsidP="001B4FD2">
            <w:pPr>
              <w:rPr>
                <w:rFonts w:cs="Arial"/>
              </w:rPr>
            </w:pPr>
            <w:r>
              <w:rPr>
                <w:rFonts w:cs="Arial"/>
              </w:rPr>
              <w:t>December 2019</w:t>
            </w:r>
          </w:p>
        </w:tc>
      </w:tr>
      <w:tr w:rsidR="001900E3" w14:paraId="67E0D038" w14:textId="77777777" w:rsidTr="001B4FD2">
        <w:tc>
          <w:tcPr>
            <w:tcW w:w="2265" w:type="dxa"/>
          </w:tcPr>
          <w:p w14:paraId="13E64E20" w14:textId="77777777" w:rsidR="001900E3" w:rsidRDefault="001900E3" w:rsidP="001B4FD2">
            <w:pPr>
              <w:rPr>
                <w:rFonts w:cs="Arial"/>
              </w:rPr>
            </w:pPr>
            <w:r>
              <w:rPr>
                <w:rFonts w:cs="Arial"/>
              </w:rPr>
              <w:t>Hardware / Software Failures</w:t>
            </w:r>
          </w:p>
        </w:tc>
        <w:tc>
          <w:tcPr>
            <w:tcW w:w="4531" w:type="dxa"/>
          </w:tcPr>
          <w:p w14:paraId="054FE9B6" w14:textId="77777777" w:rsidR="001900E3" w:rsidRDefault="001900E3" w:rsidP="001B4FD2">
            <w:pPr>
              <w:rPr>
                <w:rFonts w:cs="Arial"/>
              </w:rPr>
            </w:pPr>
            <w:r w:rsidRPr="003A7B27">
              <w:rPr>
                <w:rFonts w:cs="Arial"/>
              </w:rPr>
              <w:t>IT Department could establish an IT help desk to register and follow up all the incidents of the Ministry of Finance.</w:t>
            </w:r>
          </w:p>
        </w:tc>
        <w:tc>
          <w:tcPr>
            <w:tcW w:w="2266" w:type="dxa"/>
          </w:tcPr>
          <w:p w14:paraId="65C5948D" w14:textId="77777777" w:rsidR="001900E3" w:rsidRDefault="001900E3" w:rsidP="001B4FD2">
            <w:pPr>
              <w:rPr>
                <w:rFonts w:cs="Arial"/>
              </w:rPr>
            </w:pPr>
            <w:r>
              <w:rPr>
                <w:rFonts w:cs="Arial"/>
              </w:rPr>
              <w:t>December 2019</w:t>
            </w:r>
          </w:p>
        </w:tc>
      </w:tr>
      <w:tr w:rsidR="00993FCD" w14:paraId="591CD93F" w14:textId="77777777" w:rsidTr="001B4FD2">
        <w:tc>
          <w:tcPr>
            <w:tcW w:w="2265" w:type="dxa"/>
          </w:tcPr>
          <w:p w14:paraId="6FEB2E7C" w14:textId="492E32EC" w:rsidR="00993FCD" w:rsidRDefault="00993FCD" w:rsidP="001B4FD2">
            <w:pPr>
              <w:rPr>
                <w:rFonts w:cs="Arial"/>
              </w:rPr>
            </w:pPr>
            <w:r>
              <w:rPr>
                <w:rFonts w:cs="Arial"/>
              </w:rPr>
              <w:t>IT Policy Guidance</w:t>
            </w:r>
          </w:p>
        </w:tc>
        <w:tc>
          <w:tcPr>
            <w:tcW w:w="4531" w:type="dxa"/>
          </w:tcPr>
          <w:p w14:paraId="2C63513F" w14:textId="40759637" w:rsidR="00993FCD" w:rsidRDefault="00993FCD" w:rsidP="001B4FD2">
            <w:pPr>
              <w:rPr>
                <w:rFonts w:cs="Arial"/>
              </w:rPr>
            </w:pPr>
            <w:r>
              <w:rPr>
                <w:rFonts w:cs="Arial"/>
              </w:rPr>
              <w:t>A</w:t>
            </w:r>
            <w:r w:rsidRPr="00BC3AD1">
              <w:rPr>
                <w:rFonts w:cs="Arial"/>
              </w:rPr>
              <w:t xml:space="preserve"> clear policy guidance from the IT Department on the use of emails, preferably towards Outlook configured emails which can be stored in the local computer.</w:t>
            </w:r>
          </w:p>
        </w:tc>
        <w:tc>
          <w:tcPr>
            <w:tcW w:w="2266" w:type="dxa"/>
          </w:tcPr>
          <w:p w14:paraId="79309DA6" w14:textId="63A89A56" w:rsidR="00993FCD" w:rsidRDefault="00993FCD" w:rsidP="001B4FD2">
            <w:pPr>
              <w:rPr>
                <w:rFonts w:cs="Arial"/>
              </w:rPr>
            </w:pPr>
            <w:r>
              <w:rPr>
                <w:rFonts w:cs="Arial"/>
              </w:rPr>
              <w:t>December 2018</w:t>
            </w:r>
          </w:p>
        </w:tc>
      </w:tr>
      <w:tr w:rsidR="001900E3" w14:paraId="33906243" w14:textId="77777777" w:rsidTr="001B4FD2">
        <w:tc>
          <w:tcPr>
            <w:tcW w:w="2265" w:type="dxa"/>
          </w:tcPr>
          <w:p w14:paraId="36A0DCDF" w14:textId="1E9C7F7D" w:rsidR="001900E3" w:rsidRDefault="001900E3" w:rsidP="001B4FD2">
            <w:pPr>
              <w:rPr>
                <w:rFonts w:cs="Arial"/>
              </w:rPr>
            </w:pPr>
          </w:p>
        </w:tc>
        <w:tc>
          <w:tcPr>
            <w:tcW w:w="4531" w:type="dxa"/>
          </w:tcPr>
          <w:p w14:paraId="54461966" w14:textId="77777777" w:rsidR="001900E3" w:rsidRDefault="001900E3" w:rsidP="001B4FD2">
            <w:pPr>
              <w:rPr>
                <w:rFonts w:cs="Arial"/>
              </w:rPr>
            </w:pPr>
            <w:r>
              <w:rPr>
                <w:rFonts w:cs="Arial"/>
              </w:rPr>
              <w:t xml:space="preserve">PDMD and IT Department could coordinate to prepare written guidelines to save electronic documents, use properly the shared drive of the Ministry and ensure files security. </w:t>
            </w:r>
          </w:p>
        </w:tc>
        <w:tc>
          <w:tcPr>
            <w:tcW w:w="2266" w:type="dxa"/>
          </w:tcPr>
          <w:p w14:paraId="20493559" w14:textId="77777777" w:rsidR="001900E3" w:rsidRDefault="001900E3" w:rsidP="001B4FD2">
            <w:pPr>
              <w:rPr>
                <w:rFonts w:cs="Arial"/>
              </w:rPr>
            </w:pPr>
            <w:r>
              <w:rPr>
                <w:rFonts w:cs="Arial"/>
              </w:rPr>
              <w:t>December 2019</w:t>
            </w:r>
          </w:p>
        </w:tc>
      </w:tr>
    </w:tbl>
    <w:p w14:paraId="7ACDF6FF" w14:textId="77777777" w:rsidR="00A0303A" w:rsidRPr="000621C7" w:rsidRDefault="00A0303A" w:rsidP="001900E3">
      <w:pPr>
        <w:ind w:left="360"/>
        <w:jc w:val="center"/>
        <w:rPr>
          <w:rFonts w:cs="Arial"/>
        </w:rPr>
      </w:pPr>
    </w:p>
    <w:sectPr w:rsidR="00A0303A" w:rsidRPr="000621C7" w:rsidSect="001C41EB">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63AED" w14:textId="77777777" w:rsidR="00725788" w:rsidRDefault="00725788" w:rsidP="004861B4">
      <w:r>
        <w:separator/>
      </w:r>
    </w:p>
  </w:endnote>
  <w:endnote w:type="continuationSeparator" w:id="0">
    <w:p w14:paraId="382DA5DC" w14:textId="77777777" w:rsidR="00725788" w:rsidRDefault="00725788" w:rsidP="0048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FD68" w14:textId="77777777" w:rsidR="008D48CF" w:rsidRDefault="008D48CF" w:rsidP="004C0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61712" w14:textId="77777777" w:rsidR="008D48CF" w:rsidRDefault="008D48CF" w:rsidP="004C0C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50C2" w14:textId="77777777" w:rsidR="008D48CF" w:rsidRDefault="008D48CF" w:rsidP="004C0C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912E4" w14:textId="77777777" w:rsidR="00725788" w:rsidRDefault="00725788" w:rsidP="004861B4">
      <w:r>
        <w:separator/>
      </w:r>
    </w:p>
  </w:footnote>
  <w:footnote w:type="continuationSeparator" w:id="0">
    <w:p w14:paraId="5D925EDE" w14:textId="77777777" w:rsidR="00725788" w:rsidRDefault="00725788" w:rsidP="004861B4">
      <w:r>
        <w:continuationSeparator/>
      </w:r>
    </w:p>
  </w:footnote>
  <w:footnote w:id="1">
    <w:p w14:paraId="775B791B" w14:textId="77777777" w:rsidR="008D48CF" w:rsidRPr="001F1278" w:rsidRDefault="008D48CF" w:rsidP="001900E3">
      <w:pPr>
        <w:pStyle w:val="FootnoteText"/>
      </w:pPr>
      <w:r>
        <w:rPr>
          <w:rStyle w:val="FootnoteReference"/>
        </w:rPr>
        <w:footnoteRef/>
      </w:r>
      <w:r w:rsidRPr="001F1278">
        <w:t xml:space="preserve"> Basel II, 2004, Bank for International Settlements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388D8" w14:textId="77777777" w:rsidR="008D48CF" w:rsidRDefault="00725788">
    <w:pPr>
      <w:pStyle w:val="Header"/>
    </w:pPr>
    <w:sdt>
      <w:sdtPr>
        <w:id w:val="746378512"/>
        <w:placeholder>
          <w:docPart w:val="CD5EE26D1EBACC44B95F32A7D2CFD290"/>
        </w:placeholder>
        <w:temporary/>
        <w:showingPlcHdr/>
      </w:sdtPr>
      <w:sdtEndPr/>
      <w:sdtContent>
        <w:r w:rsidR="008D48CF">
          <w:t>[Type text]</w:t>
        </w:r>
      </w:sdtContent>
    </w:sdt>
    <w:r w:rsidR="008D48CF">
      <w:ptab w:relativeTo="margin" w:alignment="center" w:leader="none"/>
    </w:r>
    <w:sdt>
      <w:sdtPr>
        <w:id w:val="1019895488"/>
        <w:placeholder>
          <w:docPart w:val="A38F1BD93F30A24B9099E78FBDD6E6E6"/>
        </w:placeholder>
        <w:temporary/>
        <w:showingPlcHdr/>
      </w:sdtPr>
      <w:sdtEndPr/>
      <w:sdtContent>
        <w:r w:rsidR="008D48CF">
          <w:t>[Type text]</w:t>
        </w:r>
      </w:sdtContent>
    </w:sdt>
    <w:r w:rsidR="008D48CF">
      <w:ptab w:relativeTo="margin" w:alignment="right" w:leader="none"/>
    </w:r>
    <w:sdt>
      <w:sdtPr>
        <w:id w:val="1342439667"/>
        <w:placeholder>
          <w:docPart w:val="9ABCFA5F3895C240990767A0E816E62C"/>
        </w:placeholder>
        <w:temporary/>
        <w:showingPlcHdr/>
      </w:sdtPr>
      <w:sdtEndPr/>
      <w:sdtContent>
        <w:r w:rsidR="008D48CF">
          <w:t>[Type text]</w:t>
        </w:r>
      </w:sdtContent>
    </w:sdt>
  </w:p>
  <w:p w14:paraId="4FF005E0" w14:textId="77777777" w:rsidR="008D48CF" w:rsidRDefault="008D4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350"/>
    </w:tblGrid>
    <w:sdt>
      <w:sdtPr>
        <w:rPr>
          <w:color w:val="7F7F7F" w:themeColor="background1" w:themeShade="7F"/>
          <w:spacing w:val="60"/>
        </w:rPr>
        <w:id w:val="-319804995"/>
        <w:docPartObj>
          <w:docPartGallery w:val="Page Numbers (Top of Page)"/>
          <w:docPartUnique/>
        </w:docPartObj>
      </w:sdtPr>
      <w:sdtEndPr>
        <w:rPr>
          <w:b/>
          <w:bCs/>
          <w:noProof/>
          <w:color w:val="auto"/>
          <w:spacing w:val="0"/>
        </w:rPr>
      </w:sdtEndPr>
      <w:sdtContent>
        <w:tr w:rsidR="008D48CF" w:rsidRPr="002475F3" w14:paraId="0BE951B9" w14:textId="77777777" w:rsidTr="0082080F">
          <w:tc>
            <w:tcPr>
              <w:tcW w:w="8028" w:type="dxa"/>
            </w:tcPr>
            <w:sdt>
              <w:sdtPr>
                <w:rPr>
                  <w:color w:val="7F7F7F" w:themeColor="background1" w:themeShade="7F"/>
                  <w:spacing w:val="60"/>
                </w:rPr>
                <w:id w:val="-541291247"/>
                <w:docPartObj>
                  <w:docPartGallery w:val="Page Numbers (Top of Page)"/>
                  <w:docPartUnique/>
                </w:docPartObj>
              </w:sdtPr>
              <w:sdtEndPr>
                <w:rPr>
                  <w:b/>
                  <w:bCs/>
                  <w:noProof/>
                  <w:color w:val="auto"/>
                  <w:spacing w:val="0"/>
                </w:rPr>
              </w:sdtEndPr>
              <w:sdtContent>
                <w:p w14:paraId="185368B0" w14:textId="052394F3" w:rsidR="008D48CF" w:rsidRPr="001C41EB" w:rsidRDefault="008D48CF" w:rsidP="001C41EB">
                  <w:pPr>
                    <w:pStyle w:val="Header"/>
                    <w:tabs>
                      <w:tab w:val="left" w:pos="0"/>
                    </w:tabs>
                    <w:rPr>
                      <w:b/>
                      <w:bCs/>
                      <w:noProof/>
                    </w:rPr>
                  </w:pPr>
                  <w:r>
                    <w:rPr>
                      <w:rFonts w:cs="Arial"/>
                      <w:b/>
                      <w:sz w:val="18"/>
                      <w:szCs w:val="18"/>
                    </w:rPr>
                    <w:t>Draft Report- TA-9332 ARM</w:t>
                  </w:r>
                  <w:r w:rsidRPr="00BB7E11">
                    <w:rPr>
                      <w:rFonts w:cs="Arial"/>
                      <w:b/>
                      <w:sz w:val="18"/>
                      <w:szCs w:val="18"/>
                    </w:rPr>
                    <w:t>: Strengthenin</w:t>
                  </w:r>
                  <w:r>
                    <w:rPr>
                      <w:rFonts w:cs="Arial"/>
                      <w:b/>
                      <w:sz w:val="18"/>
                      <w:szCs w:val="18"/>
                    </w:rPr>
                    <w:t xml:space="preserve">g Operational Risk Management Framework for Public Debt Management </w:t>
                  </w:r>
                  <w:r w:rsidRPr="00BB7E11">
                    <w:rPr>
                      <w:rFonts w:cs="Arial"/>
                      <w:b/>
                      <w:sz w:val="18"/>
                      <w:szCs w:val="18"/>
                    </w:rPr>
                    <w:t xml:space="preserve"> </w:t>
                  </w:r>
                  <w:r>
                    <w:rPr>
                      <w:rFonts w:cs="Arial"/>
                      <w:b/>
                      <w:sz w:val="18"/>
                      <w:szCs w:val="18"/>
                    </w:rPr>
                    <w:t>– Public Debt Management Expert</w:t>
                  </w:r>
                  <w:r w:rsidRPr="00BB7E11">
                    <w:rPr>
                      <w:b/>
                      <w:sz w:val="18"/>
                      <w:szCs w:val="18"/>
                    </w:rPr>
                    <w:ptab w:relativeTo="margin" w:alignment="center" w:leader="none"/>
                  </w:r>
                  <w:r w:rsidRPr="00BB7E11">
                    <w:rPr>
                      <w:b/>
                      <w:sz w:val="18"/>
                      <w:szCs w:val="18"/>
                    </w:rPr>
                    <w:ptab w:relativeTo="margin" w:alignment="right" w:leader="none"/>
                  </w:r>
                  <w:r w:rsidRPr="002475F3">
                    <w:rPr>
                      <w:color w:val="7F7F7F" w:themeColor="background1" w:themeShade="7F"/>
                      <w:spacing w:val="60"/>
                    </w:rPr>
                    <w:t xml:space="preserve">                                         </w:t>
                  </w:r>
                  <w:r>
                    <w:rPr>
                      <w:color w:val="7F7F7F" w:themeColor="background1" w:themeShade="7F"/>
                      <w:spacing w:val="60"/>
                    </w:rPr>
                    <w:t xml:space="preserve">      </w:t>
                  </w:r>
                </w:p>
              </w:sdtContent>
            </w:sdt>
          </w:tc>
          <w:tc>
            <w:tcPr>
              <w:tcW w:w="1350" w:type="dxa"/>
            </w:tcPr>
            <w:p w14:paraId="52E3E587" w14:textId="4F28FC9B" w:rsidR="008D48CF" w:rsidRPr="002475F3" w:rsidRDefault="008D48CF" w:rsidP="004E0425">
              <w:pPr>
                <w:pStyle w:val="Header"/>
                <w:tabs>
                  <w:tab w:val="clear" w:pos="4320"/>
                  <w:tab w:val="clear" w:pos="8640"/>
                </w:tabs>
                <w:jc w:val="both"/>
                <w:rPr>
                  <w:b/>
                  <w:bCs/>
                </w:rPr>
              </w:pPr>
              <w:r w:rsidRPr="002475F3">
                <w:rPr>
                  <w:color w:val="7F7F7F" w:themeColor="background1" w:themeShade="7F"/>
                  <w:spacing w:val="60"/>
                </w:rPr>
                <w:t>Page</w:t>
              </w:r>
              <w:r w:rsidRPr="002475F3">
                <w:fldChar w:fldCharType="begin"/>
              </w:r>
              <w:r w:rsidRPr="002475F3">
                <w:instrText xml:space="preserve"> PAGE   \* MERGEFORMAT </w:instrText>
              </w:r>
              <w:r w:rsidRPr="002475F3">
                <w:fldChar w:fldCharType="separate"/>
              </w:r>
              <w:r w:rsidR="00840F89" w:rsidRPr="00840F89">
                <w:rPr>
                  <w:b/>
                  <w:bCs/>
                  <w:noProof/>
                </w:rPr>
                <w:t>1</w:t>
              </w:r>
              <w:r w:rsidRPr="002475F3">
                <w:rPr>
                  <w:b/>
                  <w:bCs/>
                  <w:noProof/>
                </w:rPr>
                <w:fldChar w:fldCharType="end"/>
              </w:r>
            </w:p>
          </w:tc>
        </w:tr>
      </w:sdtContent>
    </w:sdt>
  </w:tbl>
  <w:p w14:paraId="7EC98C6D" w14:textId="414481A3" w:rsidR="008D48CF" w:rsidRPr="008E1ACA" w:rsidRDefault="008D48CF" w:rsidP="00BB7E11">
    <w:pPr>
      <w:pStyle w:val="Header"/>
      <w:tabs>
        <w:tab w:val="left" w:pos="0"/>
      </w:tabs>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171"/>
    </w:tblGrid>
    <w:sdt>
      <w:sdtPr>
        <w:rPr>
          <w:color w:val="7F7F7F" w:themeColor="background1" w:themeShade="7F"/>
          <w:spacing w:val="60"/>
        </w:rPr>
        <w:id w:val="1843963411"/>
        <w:docPartObj>
          <w:docPartGallery w:val="Page Numbers (Top of Page)"/>
          <w:docPartUnique/>
        </w:docPartObj>
      </w:sdtPr>
      <w:sdtEndPr>
        <w:rPr>
          <w:b/>
          <w:bCs/>
          <w:noProof/>
          <w:color w:val="auto"/>
          <w:spacing w:val="0"/>
        </w:rPr>
      </w:sdtEndPr>
      <w:sdtContent>
        <w:tr w:rsidR="008D48CF" w:rsidRPr="002475F3" w14:paraId="5259FB58" w14:textId="77777777" w:rsidTr="001C41EB">
          <w:trPr>
            <w:trHeight w:val="180"/>
          </w:trPr>
          <w:tc>
            <w:tcPr>
              <w:tcW w:w="8208" w:type="dxa"/>
            </w:tcPr>
            <w:sdt>
              <w:sdtPr>
                <w:rPr>
                  <w:color w:val="7F7F7F" w:themeColor="background1" w:themeShade="7F"/>
                  <w:spacing w:val="60"/>
                </w:rPr>
                <w:id w:val="2049102196"/>
                <w:docPartObj>
                  <w:docPartGallery w:val="Page Numbers (Top of Page)"/>
                  <w:docPartUnique/>
                </w:docPartObj>
              </w:sdtPr>
              <w:sdtEndPr>
                <w:rPr>
                  <w:b/>
                  <w:bCs/>
                  <w:noProof/>
                  <w:color w:val="auto"/>
                  <w:spacing w:val="0"/>
                </w:rPr>
              </w:sdtEndPr>
              <w:sdtContent>
                <w:p w14:paraId="64A583B3" w14:textId="1C66D5D6" w:rsidR="008D48CF" w:rsidRPr="00931EDE" w:rsidRDefault="008D48CF" w:rsidP="00745A5E">
                  <w:pPr>
                    <w:pStyle w:val="Header"/>
                    <w:tabs>
                      <w:tab w:val="left" w:pos="0"/>
                    </w:tabs>
                    <w:rPr>
                      <w:rFonts w:cs="Arial"/>
                      <w:b/>
                      <w:sz w:val="18"/>
                      <w:szCs w:val="18"/>
                    </w:rPr>
                  </w:pPr>
                  <w:r>
                    <w:rPr>
                      <w:rFonts w:cs="Arial"/>
                      <w:b/>
                      <w:sz w:val="18"/>
                      <w:szCs w:val="18"/>
                    </w:rPr>
                    <w:t>Inception Report - TA-9332 ARM</w:t>
                  </w:r>
                  <w:r w:rsidRPr="00BB7E11">
                    <w:rPr>
                      <w:rFonts w:cs="Arial"/>
                      <w:b/>
                      <w:sz w:val="18"/>
                      <w:szCs w:val="18"/>
                    </w:rPr>
                    <w:t>: Strengthenin</w:t>
                  </w:r>
                  <w:r>
                    <w:rPr>
                      <w:rFonts w:cs="Arial"/>
                      <w:b/>
                      <w:sz w:val="18"/>
                      <w:szCs w:val="18"/>
                    </w:rPr>
                    <w:t xml:space="preserve">g Public Debt Management </w:t>
                  </w:r>
                  <w:r w:rsidRPr="00BB7E11">
                    <w:rPr>
                      <w:rFonts w:cs="Arial"/>
                      <w:b/>
                      <w:sz w:val="18"/>
                      <w:szCs w:val="18"/>
                    </w:rPr>
                    <w:t xml:space="preserve"> </w:t>
                  </w:r>
                  <w:r>
                    <w:rPr>
                      <w:rFonts w:cs="Arial"/>
                      <w:b/>
                      <w:sz w:val="18"/>
                      <w:szCs w:val="18"/>
                    </w:rPr>
                    <w:t>– Public Debt Management Expert</w:t>
                  </w:r>
                  <w:r w:rsidRPr="00BB7E11">
                    <w:rPr>
                      <w:b/>
                      <w:sz w:val="18"/>
                      <w:szCs w:val="18"/>
                    </w:rPr>
                    <w:ptab w:relativeTo="margin" w:alignment="center" w:leader="none"/>
                  </w:r>
                  <w:r w:rsidRPr="00BB7E11">
                    <w:rPr>
                      <w:b/>
                      <w:sz w:val="18"/>
                      <w:szCs w:val="18"/>
                    </w:rPr>
                    <w:ptab w:relativeTo="margin" w:alignment="right" w:leader="none"/>
                  </w:r>
                  <w:r w:rsidRPr="002475F3">
                    <w:rPr>
                      <w:color w:val="7F7F7F" w:themeColor="background1" w:themeShade="7F"/>
                      <w:spacing w:val="60"/>
                    </w:rPr>
                    <w:t xml:space="preserve">                                         </w:t>
                  </w:r>
                  <w:r>
                    <w:rPr>
                      <w:color w:val="7F7F7F" w:themeColor="background1" w:themeShade="7F"/>
                      <w:spacing w:val="60"/>
                    </w:rPr>
                    <w:t xml:space="preserve">      </w:t>
                  </w:r>
                </w:p>
              </w:sdtContent>
            </w:sdt>
          </w:tc>
          <w:tc>
            <w:tcPr>
              <w:tcW w:w="1171" w:type="dxa"/>
            </w:tcPr>
            <w:p w14:paraId="3CBA4E48" w14:textId="5C47ACBC" w:rsidR="008D48CF" w:rsidRPr="002475F3" w:rsidRDefault="008D48CF" w:rsidP="004A7E4E">
              <w:pPr>
                <w:pStyle w:val="Header"/>
                <w:tabs>
                  <w:tab w:val="clear" w:pos="4320"/>
                  <w:tab w:val="clear" w:pos="8640"/>
                </w:tabs>
                <w:jc w:val="both"/>
                <w:rPr>
                  <w:b/>
                  <w:bCs/>
                </w:rPr>
              </w:pPr>
              <w:r w:rsidRPr="002475F3">
                <w:rPr>
                  <w:color w:val="7F7F7F" w:themeColor="background1" w:themeShade="7F"/>
                  <w:spacing w:val="60"/>
                </w:rPr>
                <w:t>Page</w:t>
              </w:r>
              <w:r w:rsidRPr="002475F3">
                <w:t xml:space="preserve"> </w:t>
              </w:r>
              <w:r w:rsidRPr="002475F3">
                <w:rPr>
                  <w:b/>
                  <w:bCs/>
                  <w:noProof/>
                </w:rPr>
                <w:t>i</w:t>
              </w:r>
            </w:p>
          </w:tc>
        </w:tr>
      </w:sdtContent>
    </w:sdt>
  </w:tbl>
  <w:p w14:paraId="3A491A77" w14:textId="77777777" w:rsidR="008D48CF" w:rsidRDefault="008D48CF" w:rsidP="00247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087F2E"/>
    <w:lvl w:ilvl="0">
      <w:start w:val="1"/>
      <w:numFmt w:val="bullet"/>
      <w:pStyle w:val="ListBullet"/>
      <w:lvlText w:val=""/>
      <w:lvlJc w:val="left"/>
      <w:pPr>
        <w:tabs>
          <w:tab w:val="num" w:pos="720"/>
        </w:tabs>
        <w:ind w:left="720" w:hanging="720"/>
      </w:pPr>
      <w:rPr>
        <w:rFonts w:ascii="Symbol" w:hAnsi="Symbol" w:hint="default"/>
      </w:rPr>
    </w:lvl>
  </w:abstractNum>
  <w:abstractNum w:abstractNumId="1">
    <w:nsid w:val="0A330A15"/>
    <w:multiLevelType w:val="hybridMultilevel"/>
    <w:tmpl w:val="B994DF2E"/>
    <w:lvl w:ilvl="0" w:tplc="C49E5C6A">
      <w:start w:val="5"/>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BAF7CD0"/>
    <w:multiLevelType w:val="hybridMultilevel"/>
    <w:tmpl w:val="24FA12DC"/>
    <w:lvl w:ilvl="0" w:tplc="F06290EA">
      <w:start w:val="1"/>
      <w:numFmt w:val="bullet"/>
      <w:pStyle w:val="Bullet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80423A"/>
    <w:multiLevelType w:val="hybridMultilevel"/>
    <w:tmpl w:val="2F620E64"/>
    <w:lvl w:ilvl="0" w:tplc="99E67C32">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D954837"/>
    <w:multiLevelType w:val="hybridMultilevel"/>
    <w:tmpl w:val="80408904"/>
    <w:lvl w:ilvl="0" w:tplc="19845C6A">
      <w:start w:val="1"/>
      <w:numFmt w:val="bullet"/>
      <w:lvlText w:val="–"/>
      <w:lvlJc w:val="left"/>
      <w:pPr>
        <w:ind w:left="720" w:hanging="360"/>
      </w:pPr>
      <w:rPr>
        <w:rFonts w:ascii="Arial" w:hAnsi="Arial" w:cs="Arial" w:hint="default"/>
        <w:b/>
        <w:bCs/>
        <w:color w:val="auto"/>
        <w:sz w:val="24"/>
        <w:szCs w:val="24"/>
      </w:rPr>
    </w:lvl>
    <w:lvl w:ilvl="1" w:tplc="D8D01ECA">
      <w:start w:val="1"/>
      <w:numFmt w:val="bullet"/>
      <w:pStyle w:val="Bulletstab"/>
      <w:lvlText w:val=""/>
      <w:lvlJc w:val="left"/>
      <w:pPr>
        <w:ind w:left="1440" w:hanging="360"/>
      </w:pPr>
      <w:rPr>
        <w:rFonts w:ascii="Symbol" w:hAnsi="Symbol" w:cs="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14105CA9"/>
    <w:multiLevelType w:val="hybridMultilevel"/>
    <w:tmpl w:val="4E9AC554"/>
    <w:lvl w:ilvl="0" w:tplc="CB146D4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726D8F"/>
    <w:multiLevelType w:val="hybridMultilevel"/>
    <w:tmpl w:val="3CBA0A4E"/>
    <w:lvl w:ilvl="0" w:tplc="B2FE37EE">
      <w:start w:val="1"/>
      <w:numFmt w:val="upperRoman"/>
      <w:pStyle w:val="Topic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92FBE"/>
    <w:multiLevelType w:val="multilevel"/>
    <w:tmpl w:val="0AE2C1F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D64BE5"/>
    <w:multiLevelType w:val="multilevel"/>
    <w:tmpl w:val="38489BD8"/>
    <w:lvl w:ilvl="0">
      <w:start w:val="1"/>
      <w:numFmt w:val="decimal"/>
      <w:pStyle w:val="List1"/>
      <w:lvlText w:val="%1."/>
      <w:lvlJc w:val="left"/>
      <w:pPr>
        <w:tabs>
          <w:tab w:val="num" w:pos="397"/>
        </w:tabs>
        <w:ind w:left="432" w:hanging="432"/>
      </w:pPr>
      <w:rPr>
        <w:rFonts w:cs="Times New Roman" w:hint="default"/>
        <w:color w:val="auto"/>
      </w:rPr>
    </w:lvl>
    <w:lvl w:ilvl="1">
      <w:start w:val="1"/>
      <w:numFmt w:val="lowerRoman"/>
      <w:pStyle w:val="List2"/>
      <w:lvlText w:val="%2."/>
      <w:lvlJc w:val="left"/>
      <w:pPr>
        <w:tabs>
          <w:tab w:val="num" w:pos="1008"/>
        </w:tabs>
        <w:ind w:left="1008" w:hanging="576"/>
      </w:pPr>
      <w:rPr>
        <w:rFonts w:cs="Times New Roman" w:hint="default"/>
        <w:color w:val="auto"/>
      </w:rPr>
    </w:lvl>
    <w:lvl w:ilvl="2">
      <w:start w:val="1"/>
      <w:numFmt w:val="lowerLetter"/>
      <w:pStyle w:val="List3"/>
      <w:lvlText w:val="%3."/>
      <w:lvlJc w:val="left"/>
      <w:pPr>
        <w:tabs>
          <w:tab w:val="num" w:pos="1440"/>
        </w:tabs>
        <w:ind w:left="1440" w:hanging="432"/>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428E75AC"/>
    <w:multiLevelType w:val="hybridMultilevel"/>
    <w:tmpl w:val="398E4D6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4B2B637D"/>
    <w:multiLevelType w:val="hybridMultilevel"/>
    <w:tmpl w:val="F4F88620"/>
    <w:lvl w:ilvl="0" w:tplc="99E67C32">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6375288"/>
    <w:multiLevelType w:val="multilevel"/>
    <w:tmpl w:val="10E0C04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F0750F5"/>
    <w:multiLevelType w:val="hybridMultilevel"/>
    <w:tmpl w:val="1598C6F6"/>
    <w:lvl w:ilvl="0" w:tplc="AC4A2242">
      <w:start w:val="1"/>
      <w:numFmt w:val="upperLetter"/>
      <w:pStyle w:val="Topic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651872"/>
    <w:multiLevelType w:val="hybridMultilevel"/>
    <w:tmpl w:val="F1AAB2EC"/>
    <w:lvl w:ilvl="0" w:tplc="ADF62A7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785A63C8"/>
    <w:multiLevelType w:val="hybridMultilevel"/>
    <w:tmpl w:val="398E4D6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4"/>
  </w:num>
  <w:num w:numId="7">
    <w:abstractNumId w:val="0"/>
  </w:num>
  <w:num w:numId="8">
    <w:abstractNumId w:val="12"/>
  </w:num>
  <w:num w:numId="9">
    <w:abstractNumId w:val="13"/>
  </w:num>
  <w:num w:numId="10">
    <w:abstractNumId w:val="11"/>
  </w:num>
  <w:num w:numId="11">
    <w:abstractNumId w:val="1"/>
  </w:num>
  <w:num w:numId="12">
    <w:abstractNumId w:val="14"/>
  </w:num>
  <w:num w:numId="13">
    <w:abstractNumId w:val="9"/>
  </w:num>
  <w:num w:numId="14">
    <w:abstractNumId w:val="3"/>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9"/>
    <w:rsid w:val="00000A51"/>
    <w:rsid w:val="00001398"/>
    <w:rsid w:val="000018F3"/>
    <w:rsid w:val="00006E8D"/>
    <w:rsid w:val="00007C1C"/>
    <w:rsid w:val="00010BA6"/>
    <w:rsid w:val="000141AE"/>
    <w:rsid w:val="00023019"/>
    <w:rsid w:val="0002333D"/>
    <w:rsid w:val="00032D54"/>
    <w:rsid w:val="00035758"/>
    <w:rsid w:val="000400C0"/>
    <w:rsid w:val="000405F6"/>
    <w:rsid w:val="000424D7"/>
    <w:rsid w:val="00045727"/>
    <w:rsid w:val="000470CC"/>
    <w:rsid w:val="0004773A"/>
    <w:rsid w:val="00047E40"/>
    <w:rsid w:val="00054859"/>
    <w:rsid w:val="000621C7"/>
    <w:rsid w:val="000730D1"/>
    <w:rsid w:val="00086991"/>
    <w:rsid w:val="00091F48"/>
    <w:rsid w:val="00096F56"/>
    <w:rsid w:val="000A3B0C"/>
    <w:rsid w:val="000A4DB0"/>
    <w:rsid w:val="000A4E7B"/>
    <w:rsid w:val="000A630C"/>
    <w:rsid w:val="000A7247"/>
    <w:rsid w:val="000A7513"/>
    <w:rsid w:val="000B0B75"/>
    <w:rsid w:val="000B23BF"/>
    <w:rsid w:val="000B2ACA"/>
    <w:rsid w:val="000B45A3"/>
    <w:rsid w:val="000B5737"/>
    <w:rsid w:val="000B6612"/>
    <w:rsid w:val="000B7241"/>
    <w:rsid w:val="000C0862"/>
    <w:rsid w:val="000C0973"/>
    <w:rsid w:val="000C0B02"/>
    <w:rsid w:val="000C0ED8"/>
    <w:rsid w:val="000C56D5"/>
    <w:rsid w:val="000C6B03"/>
    <w:rsid w:val="000C7428"/>
    <w:rsid w:val="000C7A31"/>
    <w:rsid w:val="000D2DF0"/>
    <w:rsid w:val="000D31FF"/>
    <w:rsid w:val="000D6155"/>
    <w:rsid w:val="000E3DB7"/>
    <w:rsid w:val="000E4C08"/>
    <w:rsid w:val="000F2988"/>
    <w:rsid w:val="00100A82"/>
    <w:rsid w:val="00106DB5"/>
    <w:rsid w:val="0011151D"/>
    <w:rsid w:val="00111D6D"/>
    <w:rsid w:val="0011207F"/>
    <w:rsid w:val="00116816"/>
    <w:rsid w:val="00117747"/>
    <w:rsid w:val="00117DF3"/>
    <w:rsid w:val="00123D8A"/>
    <w:rsid w:val="00125C74"/>
    <w:rsid w:val="00125EBA"/>
    <w:rsid w:val="00134C96"/>
    <w:rsid w:val="0013791C"/>
    <w:rsid w:val="001414AF"/>
    <w:rsid w:val="001426FA"/>
    <w:rsid w:val="00142DDF"/>
    <w:rsid w:val="00143746"/>
    <w:rsid w:val="00145832"/>
    <w:rsid w:val="00147507"/>
    <w:rsid w:val="00152F30"/>
    <w:rsid w:val="00153905"/>
    <w:rsid w:val="00154133"/>
    <w:rsid w:val="00154C04"/>
    <w:rsid w:val="001612CE"/>
    <w:rsid w:val="00161647"/>
    <w:rsid w:val="00164770"/>
    <w:rsid w:val="00164E21"/>
    <w:rsid w:val="001667F5"/>
    <w:rsid w:val="00171022"/>
    <w:rsid w:val="00171C81"/>
    <w:rsid w:val="00172D96"/>
    <w:rsid w:val="0017377B"/>
    <w:rsid w:val="001803FA"/>
    <w:rsid w:val="00184756"/>
    <w:rsid w:val="00186932"/>
    <w:rsid w:val="001900E3"/>
    <w:rsid w:val="00190C9E"/>
    <w:rsid w:val="001916FE"/>
    <w:rsid w:val="0019192D"/>
    <w:rsid w:val="00191D6D"/>
    <w:rsid w:val="00192A68"/>
    <w:rsid w:val="001933DE"/>
    <w:rsid w:val="00193AC9"/>
    <w:rsid w:val="00193B92"/>
    <w:rsid w:val="00196093"/>
    <w:rsid w:val="001A07D9"/>
    <w:rsid w:val="001A33F4"/>
    <w:rsid w:val="001B1CCF"/>
    <w:rsid w:val="001B4DC9"/>
    <w:rsid w:val="001B4FD2"/>
    <w:rsid w:val="001B55DF"/>
    <w:rsid w:val="001C157E"/>
    <w:rsid w:val="001C16C6"/>
    <w:rsid w:val="001C1C12"/>
    <w:rsid w:val="001C1E53"/>
    <w:rsid w:val="001C2691"/>
    <w:rsid w:val="001C41EB"/>
    <w:rsid w:val="001C476D"/>
    <w:rsid w:val="001C4B48"/>
    <w:rsid w:val="001C57B6"/>
    <w:rsid w:val="001D069C"/>
    <w:rsid w:val="001D3C2D"/>
    <w:rsid w:val="001D4A14"/>
    <w:rsid w:val="001D53EF"/>
    <w:rsid w:val="001D6976"/>
    <w:rsid w:val="001E1C61"/>
    <w:rsid w:val="001E4373"/>
    <w:rsid w:val="001E46E3"/>
    <w:rsid w:val="001E4AA4"/>
    <w:rsid w:val="001F0B8F"/>
    <w:rsid w:val="001F31A9"/>
    <w:rsid w:val="001F37C7"/>
    <w:rsid w:val="001F4A21"/>
    <w:rsid w:val="001F4F13"/>
    <w:rsid w:val="002002C6"/>
    <w:rsid w:val="00200C5C"/>
    <w:rsid w:val="00201A59"/>
    <w:rsid w:val="00201C1A"/>
    <w:rsid w:val="002022B3"/>
    <w:rsid w:val="00204BC1"/>
    <w:rsid w:val="002065CA"/>
    <w:rsid w:val="00210078"/>
    <w:rsid w:val="00210753"/>
    <w:rsid w:val="00212C1F"/>
    <w:rsid w:val="00215017"/>
    <w:rsid w:val="002177DC"/>
    <w:rsid w:val="00221B5B"/>
    <w:rsid w:val="002262A0"/>
    <w:rsid w:val="00226BF6"/>
    <w:rsid w:val="002279ED"/>
    <w:rsid w:val="00231EE8"/>
    <w:rsid w:val="00234A79"/>
    <w:rsid w:val="00235C1E"/>
    <w:rsid w:val="002371DF"/>
    <w:rsid w:val="002469A7"/>
    <w:rsid w:val="00246EC2"/>
    <w:rsid w:val="002475F3"/>
    <w:rsid w:val="00253495"/>
    <w:rsid w:val="002565B6"/>
    <w:rsid w:val="0025699F"/>
    <w:rsid w:val="00256FF3"/>
    <w:rsid w:val="00257E9C"/>
    <w:rsid w:val="0026111F"/>
    <w:rsid w:val="00261136"/>
    <w:rsid w:val="00261333"/>
    <w:rsid w:val="002660AB"/>
    <w:rsid w:val="002673FE"/>
    <w:rsid w:val="002701F4"/>
    <w:rsid w:val="0027439B"/>
    <w:rsid w:val="00280710"/>
    <w:rsid w:val="00280B9B"/>
    <w:rsid w:val="00281FB5"/>
    <w:rsid w:val="00282A17"/>
    <w:rsid w:val="002832EB"/>
    <w:rsid w:val="002859DD"/>
    <w:rsid w:val="00290212"/>
    <w:rsid w:val="002973B7"/>
    <w:rsid w:val="002A0E63"/>
    <w:rsid w:val="002A552F"/>
    <w:rsid w:val="002C298F"/>
    <w:rsid w:val="002C3574"/>
    <w:rsid w:val="002C40A9"/>
    <w:rsid w:val="002C6B7B"/>
    <w:rsid w:val="002C7D6A"/>
    <w:rsid w:val="002E1B88"/>
    <w:rsid w:val="002E25B6"/>
    <w:rsid w:val="002E2982"/>
    <w:rsid w:val="002F0313"/>
    <w:rsid w:val="002F0CE4"/>
    <w:rsid w:val="002F1269"/>
    <w:rsid w:val="002F1CC7"/>
    <w:rsid w:val="00301B41"/>
    <w:rsid w:val="00303615"/>
    <w:rsid w:val="00307F68"/>
    <w:rsid w:val="003103DC"/>
    <w:rsid w:val="003155E6"/>
    <w:rsid w:val="00315C03"/>
    <w:rsid w:val="00321B08"/>
    <w:rsid w:val="003224C3"/>
    <w:rsid w:val="003224ED"/>
    <w:rsid w:val="0032254A"/>
    <w:rsid w:val="003265D1"/>
    <w:rsid w:val="003302F5"/>
    <w:rsid w:val="003314AD"/>
    <w:rsid w:val="003317FF"/>
    <w:rsid w:val="00334FD4"/>
    <w:rsid w:val="003350F0"/>
    <w:rsid w:val="00335383"/>
    <w:rsid w:val="00335878"/>
    <w:rsid w:val="00335E39"/>
    <w:rsid w:val="00337A26"/>
    <w:rsid w:val="00340A54"/>
    <w:rsid w:val="003533A7"/>
    <w:rsid w:val="00355527"/>
    <w:rsid w:val="0036062C"/>
    <w:rsid w:val="00367500"/>
    <w:rsid w:val="00370F8A"/>
    <w:rsid w:val="003722E3"/>
    <w:rsid w:val="00372869"/>
    <w:rsid w:val="00373A61"/>
    <w:rsid w:val="00375287"/>
    <w:rsid w:val="00383166"/>
    <w:rsid w:val="00384945"/>
    <w:rsid w:val="003857A1"/>
    <w:rsid w:val="00385AA5"/>
    <w:rsid w:val="00386FBE"/>
    <w:rsid w:val="00391EA0"/>
    <w:rsid w:val="003957EA"/>
    <w:rsid w:val="003A3E9B"/>
    <w:rsid w:val="003A404D"/>
    <w:rsid w:val="003A569F"/>
    <w:rsid w:val="003B56E3"/>
    <w:rsid w:val="003B5819"/>
    <w:rsid w:val="003C11B4"/>
    <w:rsid w:val="003C2E6B"/>
    <w:rsid w:val="003C2F14"/>
    <w:rsid w:val="003C659A"/>
    <w:rsid w:val="003D2C95"/>
    <w:rsid w:val="003D6B23"/>
    <w:rsid w:val="003E3226"/>
    <w:rsid w:val="003E348D"/>
    <w:rsid w:val="003E61F3"/>
    <w:rsid w:val="003E759F"/>
    <w:rsid w:val="003F15EE"/>
    <w:rsid w:val="003F5413"/>
    <w:rsid w:val="00400FBD"/>
    <w:rsid w:val="004066CF"/>
    <w:rsid w:val="004127C1"/>
    <w:rsid w:val="004134AF"/>
    <w:rsid w:val="00413675"/>
    <w:rsid w:val="00413C28"/>
    <w:rsid w:val="00413C50"/>
    <w:rsid w:val="004151EB"/>
    <w:rsid w:val="004158B9"/>
    <w:rsid w:val="00416A41"/>
    <w:rsid w:val="00417A3C"/>
    <w:rsid w:val="00422915"/>
    <w:rsid w:val="00423C15"/>
    <w:rsid w:val="004248B0"/>
    <w:rsid w:val="00425610"/>
    <w:rsid w:val="0042581C"/>
    <w:rsid w:val="00425A03"/>
    <w:rsid w:val="00426101"/>
    <w:rsid w:val="00430AA3"/>
    <w:rsid w:val="00430FCF"/>
    <w:rsid w:val="00435205"/>
    <w:rsid w:val="00436788"/>
    <w:rsid w:val="00437A15"/>
    <w:rsid w:val="00445D11"/>
    <w:rsid w:val="0044697D"/>
    <w:rsid w:val="00453996"/>
    <w:rsid w:val="00453CBE"/>
    <w:rsid w:val="00453EA1"/>
    <w:rsid w:val="00454003"/>
    <w:rsid w:val="00454389"/>
    <w:rsid w:val="00455BD8"/>
    <w:rsid w:val="00464C0E"/>
    <w:rsid w:val="00466D0E"/>
    <w:rsid w:val="00467A44"/>
    <w:rsid w:val="004733DD"/>
    <w:rsid w:val="0047698F"/>
    <w:rsid w:val="00482A8D"/>
    <w:rsid w:val="004861B4"/>
    <w:rsid w:val="00486EC3"/>
    <w:rsid w:val="00487DD7"/>
    <w:rsid w:val="00495F4E"/>
    <w:rsid w:val="00496B37"/>
    <w:rsid w:val="004978AE"/>
    <w:rsid w:val="004A7E4E"/>
    <w:rsid w:val="004B20AD"/>
    <w:rsid w:val="004B2F1B"/>
    <w:rsid w:val="004B4B3A"/>
    <w:rsid w:val="004B52CE"/>
    <w:rsid w:val="004B545F"/>
    <w:rsid w:val="004B74BF"/>
    <w:rsid w:val="004C0C0F"/>
    <w:rsid w:val="004C292B"/>
    <w:rsid w:val="004C2D1D"/>
    <w:rsid w:val="004C3F0D"/>
    <w:rsid w:val="004C56F5"/>
    <w:rsid w:val="004D1F72"/>
    <w:rsid w:val="004D23B3"/>
    <w:rsid w:val="004D35C8"/>
    <w:rsid w:val="004D367B"/>
    <w:rsid w:val="004D3858"/>
    <w:rsid w:val="004D3946"/>
    <w:rsid w:val="004D3A9A"/>
    <w:rsid w:val="004D5784"/>
    <w:rsid w:val="004D70AD"/>
    <w:rsid w:val="004D7B8F"/>
    <w:rsid w:val="004E0425"/>
    <w:rsid w:val="004E4989"/>
    <w:rsid w:val="004E4F27"/>
    <w:rsid w:val="004E7CD2"/>
    <w:rsid w:val="004F108E"/>
    <w:rsid w:val="004F36E0"/>
    <w:rsid w:val="004F69FE"/>
    <w:rsid w:val="00501835"/>
    <w:rsid w:val="00502316"/>
    <w:rsid w:val="00513434"/>
    <w:rsid w:val="00514638"/>
    <w:rsid w:val="005156A9"/>
    <w:rsid w:val="005206FD"/>
    <w:rsid w:val="0052131F"/>
    <w:rsid w:val="00521EBB"/>
    <w:rsid w:val="0052239C"/>
    <w:rsid w:val="00523465"/>
    <w:rsid w:val="0052399D"/>
    <w:rsid w:val="00524A7A"/>
    <w:rsid w:val="00524E09"/>
    <w:rsid w:val="0052542D"/>
    <w:rsid w:val="00525E54"/>
    <w:rsid w:val="0053105C"/>
    <w:rsid w:val="005344AC"/>
    <w:rsid w:val="00535B20"/>
    <w:rsid w:val="005409B3"/>
    <w:rsid w:val="005410BB"/>
    <w:rsid w:val="00541F51"/>
    <w:rsid w:val="005438F2"/>
    <w:rsid w:val="005446AF"/>
    <w:rsid w:val="00546669"/>
    <w:rsid w:val="005509AD"/>
    <w:rsid w:val="0055168A"/>
    <w:rsid w:val="00555A2A"/>
    <w:rsid w:val="00555D87"/>
    <w:rsid w:val="00555DD3"/>
    <w:rsid w:val="00557077"/>
    <w:rsid w:val="00560BDC"/>
    <w:rsid w:val="00566A1F"/>
    <w:rsid w:val="00567687"/>
    <w:rsid w:val="00570B09"/>
    <w:rsid w:val="00571A0E"/>
    <w:rsid w:val="0057643A"/>
    <w:rsid w:val="00580188"/>
    <w:rsid w:val="00583ABD"/>
    <w:rsid w:val="00584CBF"/>
    <w:rsid w:val="0058519F"/>
    <w:rsid w:val="00585D83"/>
    <w:rsid w:val="0059070A"/>
    <w:rsid w:val="00590921"/>
    <w:rsid w:val="0059150B"/>
    <w:rsid w:val="0059479C"/>
    <w:rsid w:val="00596A46"/>
    <w:rsid w:val="00596F16"/>
    <w:rsid w:val="005976C2"/>
    <w:rsid w:val="00597C68"/>
    <w:rsid w:val="005A0D4F"/>
    <w:rsid w:val="005A1594"/>
    <w:rsid w:val="005A1BFF"/>
    <w:rsid w:val="005A2931"/>
    <w:rsid w:val="005A46D8"/>
    <w:rsid w:val="005B48F4"/>
    <w:rsid w:val="005B5A9B"/>
    <w:rsid w:val="005B5CE4"/>
    <w:rsid w:val="005C0920"/>
    <w:rsid w:val="005C1C1A"/>
    <w:rsid w:val="005C3942"/>
    <w:rsid w:val="005C6428"/>
    <w:rsid w:val="005C6D20"/>
    <w:rsid w:val="005D182B"/>
    <w:rsid w:val="005D426A"/>
    <w:rsid w:val="005D5C88"/>
    <w:rsid w:val="005E46E7"/>
    <w:rsid w:val="005E5DC5"/>
    <w:rsid w:val="005F43F5"/>
    <w:rsid w:val="005F7982"/>
    <w:rsid w:val="00602676"/>
    <w:rsid w:val="00603912"/>
    <w:rsid w:val="00604421"/>
    <w:rsid w:val="00604E49"/>
    <w:rsid w:val="00605D5B"/>
    <w:rsid w:val="00610343"/>
    <w:rsid w:val="00611444"/>
    <w:rsid w:val="006118A7"/>
    <w:rsid w:val="006129C9"/>
    <w:rsid w:val="00613491"/>
    <w:rsid w:val="00615EB8"/>
    <w:rsid w:val="00617369"/>
    <w:rsid w:val="0062256A"/>
    <w:rsid w:val="006244B4"/>
    <w:rsid w:val="00626528"/>
    <w:rsid w:val="006265E4"/>
    <w:rsid w:val="0062704C"/>
    <w:rsid w:val="00634088"/>
    <w:rsid w:val="0063643A"/>
    <w:rsid w:val="00640306"/>
    <w:rsid w:val="00640768"/>
    <w:rsid w:val="006426DB"/>
    <w:rsid w:val="0064479F"/>
    <w:rsid w:val="006450FE"/>
    <w:rsid w:val="006465BE"/>
    <w:rsid w:val="006468D2"/>
    <w:rsid w:val="00650BF7"/>
    <w:rsid w:val="00653337"/>
    <w:rsid w:val="00653CB2"/>
    <w:rsid w:val="006556C7"/>
    <w:rsid w:val="006564D5"/>
    <w:rsid w:val="00656758"/>
    <w:rsid w:val="00661591"/>
    <w:rsid w:val="00661A35"/>
    <w:rsid w:val="00662C14"/>
    <w:rsid w:val="00667D52"/>
    <w:rsid w:val="00671DA3"/>
    <w:rsid w:val="00676ACA"/>
    <w:rsid w:val="0067773D"/>
    <w:rsid w:val="0068055B"/>
    <w:rsid w:val="00685F7E"/>
    <w:rsid w:val="00687143"/>
    <w:rsid w:val="006914F9"/>
    <w:rsid w:val="00691F71"/>
    <w:rsid w:val="00692F16"/>
    <w:rsid w:val="0069373B"/>
    <w:rsid w:val="006940BB"/>
    <w:rsid w:val="006943DF"/>
    <w:rsid w:val="00694EFE"/>
    <w:rsid w:val="00696DAC"/>
    <w:rsid w:val="006A59F3"/>
    <w:rsid w:val="006A5CB1"/>
    <w:rsid w:val="006A6B4E"/>
    <w:rsid w:val="006A6BFD"/>
    <w:rsid w:val="006A6E28"/>
    <w:rsid w:val="006A76DD"/>
    <w:rsid w:val="006B224A"/>
    <w:rsid w:val="006B3930"/>
    <w:rsid w:val="006C1528"/>
    <w:rsid w:val="006C226B"/>
    <w:rsid w:val="006C2B1F"/>
    <w:rsid w:val="006C5B86"/>
    <w:rsid w:val="006C7C11"/>
    <w:rsid w:val="006D3EDF"/>
    <w:rsid w:val="006D3F08"/>
    <w:rsid w:val="006D60BF"/>
    <w:rsid w:val="006E1578"/>
    <w:rsid w:val="006E166B"/>
    <w:rsid w:val="006E3A1A"/>
    <w:rsid w:val="006E6230"/>
    <w:rsid w:val="006E69BD"/>
    <w:rsid w:val="006F04EF"/>
    <w:rsid w:val="006F242B"/>
    <w:rsid w:val="006F2B30"/>
    <w:rsid w:val="006F4817"/>
    <w:rsid w:val="006F5909"/>
    <w:rsid w:val="00701226"/>
    <w:rsid w:val="0070199C"/>
    <w:rsid w:val="0070500B"/>
    <w:rsid w:val="00705504"/>
    <w:rsid w:val="00710541"/>
    <w:rsid w:val="0071223E"/>
    <w:rsid w:val="00712363"/>
    <w:rsid w:val="00713010"/>
    <w:rsid w:val="0071461F"/>
    <w:rsid w:val="00715DD6"/>
    <w:rsid w:val="00716950"/>
    <w:rsid w:val="00717B11"/>
    <w:rsid w:val="00722174"/>
    <w:rsid w:val="00722A00"/>
    <w:rsid w:val="00725788"/>
    <w:rsid w:val="00726A12"/>
    <w:rsid w:val="00727B44"/>
    <w:rsid w:val="00733C24"/>
    <w:rsid w:val="007362A0"/>
    <w:rsid w:val="00737093"/>
    <w:rsid w:val="007425CA"/>
    <w:rsid w:val="00744DF2"/>
    <w:rsid w:val="00745A5E"/>
    <w:rsid w:val="00745D82"/>
    <w:rsid w:val="007479FA"/>
    <w:rsid w:val="00747B9B"/>
    <w:rsid w:val="00761F18"/>
    <w:rsid w:val="00762B48"/>
    <w:rsid w:val="00762C9D"/>
    <w:rsid w:val="00763B10"/>
    <w:rsid w:val="0076556D"/>
    <w:rsid w:val="00765DA1"/>
    <w:rsid w:val="00772D72"/>
    <w:rsid w:val="00773816"/>
    <w:rsid w:val="00773B97"/>
    <w:rsid w:val="007765D0"/>
    <w:rsid w:val="00777768"/>
    <w:rsid w:val="00777C3E"/>
    <w:rsid w:val="00777D38"/>
    <w:rsid w:val="0078340E"/>
    <w:rsid w:val="00786239"/>
    <w:rsid w:val="007878C8"/>
    <w:rsid w:val="00793610"/>
    <w:rsid w:val="00794A29"/>
    <w:rsid w:val="0079511F"/>
    <w:rsid w:val="00796075"/>
    <w:rsid w:val="00796707"/>
    <w:rsid w:val="007A5BBD"/>
    <w:rsid w:val="007B057E"/>
    <w:rsid w:val="007B1392"/>
    <w:rsid w:val="007B2FD3"/>
    <w:rsid w:val="007B51B7"/>
    <w:rsid w:val="007B5A84"/>
    <w:rsid w:val="007C0682"/>
    <w:rsid w:val="007C1706"/>
    <w:rsid w:val="007C1A6F"/>
    <w:rsid w:val="007C343F"/>
    <w:rsid w:val="007C5D02"/>
    <w:rsid w:val="007C6B79"/>
    <w:rsid w:val="007D21A8"/>
    <w:rsid w:val="007D2F1B"/>
    <w:rsid w:val="007D3295"/>
    <w:rsid w:val="007D394D"/>
    <w:rsid w:val="007D5FE6"/>
    <w:rsid w:val="007E2D0E"/>
    <w:rsid w:val="007E3533"/>
    <w:rsid w:val="007E5622"/>
    <w:rsid w:val="007F3A54"/>
    <w:rsid w:val="007F764B"/>
    <w:rsid w:val="00800BFC"/>
    <w:rsid w:val="00801239"/>
    <w:rsid w:val="0082080F"/>
    <w:rsid w:val="008214BD"/>
    <w:rsid w:val="00831424"/>
    <w:rsid w:val="00832536"/>
    <w:rsid w:val="00840F89"/>
    <w:rsid w:val="0084301F"/>
    <w:rsid w:val="0084352E"/>
    <w:rsid w:val="00847866"/>
    <w:rsid w:val="00854A2F"/>
    <w:rsid w:val="008570D4"/>
    <w:rsid w:val="0085757E"/>
    <w:rsid w:val="00857751"/>
    <w:rsid w:val="00867CD8"/>
    <w:rsid w:val="00872386"/>
    <w:rsid w:val="00873567"/>
    <w:rsid w:val="00873D47"/>
    <w:rsid w:val="00876AA8"/>
    <w:rsid w:val="00877402"/>
    <w:rsid w:val="008844E8"/>
    <w:rsid w:val="00885685"/>
    <w:rsid w:val="00885C5E"/>
    <w:rsid w:val="00886027"/>
    <w:rsid w:val="00887136"/>
    <w:rsid w:val="008912B0"/>
    <w:rsid w:val="00893657"/>
    <w:rsid w:val="00894A7C"/>
    <w:rsid w:val="00897C07"/>
    <w:rsid w:val="008A07F2"/>
    <w:rsid w:val="008A0A86"/>
    <w:rsid w:val="008A2C67"/>
    <w:rsid w:val="008B1A3C"/>
    <w:rsid w:val="008B21BA"/>
    <w:rsid w:val="008C12BA"/>
    <w:rsid w:val="008C6EC7"/>
    <w:rsid w:val="008D1BE1"/>
    <w:rsid w:val="008D48CF"/>
    <w:rsid w:val="008D705F"/>
    <w:rsid w:val="008E030F"/>
    <w:rsid w:val="008E1ACA"/>
    <w:rsid w:val="008E2E48"/>
    <w:rsid w:val="008E608E"/>
    <w:rsid w:val="008E648B"/>
    <w:rsid w:val="008F380B"/>
    <w:rsid w:val="00900B26"/>
    <w:rsid w:val="009027CF"/>
    <w:rsid w:val="00903286"/>
    <w:rsid w:val="00906B11"/>
    <w:rsid w:val="00906F06"/>
    <w:rsid w:val="00907B62"/>
    <w:rsid w:val="009144A1"/>
    <w:rsid w:val="009161C2"/>
    <w:rsid w:val="00922A59"/>
    <w:rsid w:val="00923DDD"/>
    <w:rsid w:val="009254B9"/>
    <w:rsid w:val="00927C70"/>
    <w:rsid w:val="00927E59"/>
    <w:rsid w:val="00930F3B"/>
    <w:rsid w:val="00931EDE"/>
    <w:rsid w:val="0093258E"/>
    <w:rsid w:val="00933C1A"/>
    <w:rsid w:val="00934F1C"/>
    <w:rsid w:val="00935E8A"/>
    <w:rsid w:val="00936D0A"/>
    <w:rsid w:val="00941333"/>
    <w:rsid w:val="00941631"/>
    <w:rsid w:val="00941E54"/>
    <w:rsid w:val="00943443"/>
    <w:rsid w:val="0094354C"/>
    <w:rsid w:val="00943B8D"/>
    <w:rsid w:val="00944832"/>
    <w:rsid w:val="00950132"/>
    <w:rsid w:val="0095343D"/>
    <w:rsid w:val="00953E64"/>
    <w:rsid w:val="009540A4"/>
    <w:rsid w:val="009545C3"/>
    <w:rsid w:val="009569C6"/>
    <w:rsid w:val="00961E61"/>
    <w:rsid w:val="00962702"/>
    <w:rsid w:val="00962CC2"/>
    <w:rsid w:val="009639AD"/>
    <w:rsid w:val="00964FA8"/>
    <w:rsid w:val="00970CC7"/>
    <w:rsid w:val="0097630E"/>
    <w:rsid w:val="00981902"/>
    <w:rsid w:val="00981B34"/>
    <w:rsid w:val="00983EEE"/>
    <w:rsid w:val="009857C2"/>
    <w:rsid w:val="00987522"/>
    <w:rsid w:val="00987742"/>
    <w:rsid w:val="00987B70"/>
    <w:rsid w:val="00990D90"/>
    <w:rsid w:val="00992B03"/>
    <w:rsid w:val="0099344A"/>
    <w:rsid w:val="0099361D"/>
    <w:rsid w:val="00993973"/>
    <w:rsid w:val="00993FCD"/>
    <w:rsid w:val="00994954"/>
    <w:rsid w:val="009A727F"/>
    <w:rsid w:val="009A7F77"/>
    <w:rsid w:val="009B1AFF"/>
    <w:rsid w:val="009B2741"/>
    <w:rsid w:val="009B28E3"/>
    <w:rsid w:val="009B4BD8"/>
    <w:rsid w:val="009B5286"/>
    <w:rsid w:val="009C2031"/>
    <w:rsid w:val="009C28BB"/>
    <w:rsid w:val="009C2C98"/>
    <w:rsid w:val="009C5A17"/>
    <w:rsid w:val="009C5AFC"/>
    <w:rsid w:val="009D232F"/>
    <w:rsid w:val="009D5B5C"/>
    <w:rsid w:val="009D660C"/>
    <w:rsid w:val="009D684A"/>
    <w:rsid w:val="009E5527"/>
    <w:rsid w:val="009F388E"/>
    <w:rsid w:val="00A009DE"/>
    <w:rsid w:val="00A02108"/>
    <w:rsid w:val="00A0303A"/>
    <w:rsid w:val="00A036E7"/>
    <w:rsid w:val="00A05895"/>
    <w:rsid w:val="00A0678D"/>
    <w:rsid w:val="00A10ED8"/>
    <w:rsid w:val="00A12A6E"/>
    <w:rsid w:val="00A14981"/>
    <w:rsid w:val="00A16A40"/>
    <w:rsid w:val="00A206F4"/>
    <w:rsid w:val="00A20EF2"/>
    <w:rsid w:val="00A22018"/>
    <w:rsid w:val="00A22E1D"/>
    <w:rsid w:val="00A2368E"/>
    <w:rsid w:val="00A23892"/>
    <w:rsid w:val="00A26480"/>
    <w:rsid w:val="00A313C5"/>
    <w:rsid w:val="00A31BEC"/>
    <w:rsid w:val="00A37DB4"/>
    <w:rsid w:val="00A430BC"/>
    <w:rsid w:val="00A438C0"/>
    <w:rsid w:val="00A44065"/>
    <w:rsid w:val="00A4751C"/>
    <w:rsid w:val="00A50926"/>
    <w:rsid w:val="00A536D0"/>
    <w:rsid w:val="00A53704"/>
    <w:rsid w:val="00A54FE5"/>
    <w:rsid w:val="00A6058C"/>
    <w:rsid w:val="00A60D6A"/>
    <w:rsid w:val="00A61C41"/>
    <w:rsid w:val="00A62471"/>
    <w:rsid w:val="00A70755"/>
    <w:rsid w:val="00A72F2B"/>
    <w:rsid w:val="00A730F3"/>
    <w:rsid w:val="00A736CC"/>
    <w:rsid w:val="00A73C69"/>
    <w:rsid w:val="00A74C2B"/>
    <w:rsid w:val="00A75C90"/>
    <w:rsid w:val="00A80224"/>
    <w:rsid w:val="00A82778"/>
    <w:rsid w:val="00A833D0"/>
    <w:rsid w:val="00A8638F"/>
    <w:rsid w:val="00A879E0"/>
    <w:rsid w:val="00A87C8C"/>
    <w:rsid w:val="00A9014A"/>
    <w:rsid w:val="00A90260"/>
    <w:rsid w:val="00A91451"/>
    <w:rsid w:val="00A92DB8"/>
    <w:rsid w:val="00A93556"/>
    <w:rsid w:val="00A9471F"/>
    <w:rsid w:val="00A95214"/>
    <w:rsid w:val="00AA034B"/>
    <w:rsid w:val="00AA1297"/>
    <w:rsid w:val="00AA15E9"/>
    <w:rsid w:val="00AA28B3"/>
    <w:rsid w:val="00AB539F"/>
    <w:rsid w:val="00AC45D0"/>
    <w:rsid w:val="00AC5124"/>
    <w:rsid w:val="00AC6D69"/>
    <w:rsid w:val="00AE19C2"/>
    <w:rsid w:val="00AE77B0"/>
    <w:rsid w:val="00AF0581"/>
    <w:rsid w:val="00B012CF"/>
    <w:rsid w:val="00B02E5F"/>
    <w:rsid w:val="00B045A8"/>
    <w:rsid w:val="00B1117A"/>
    <w:rsid w:val="00B148B3"/>
    <w:rsid w:val="00B15AD7"/>
    <w:rsid w:val="00B2162D"/>
    <w:rsid w:val="00B2292A"/>
    <w:rsid w:val="00B24570"/>
    <w:rsid w:val="00B25CEB"/>
    <w:rsid w:val="00B32E08"/>
    <w:rsid w:val="00B35D6F"/>
    <w:rsid w:val="00B36862"/>
    <w:rsid w:val="00B36B29"/>
    <w:rsid w:val="00B409E3"/>
    <w:rsid w:val="00B42037"/>
    <w:rsid w:val="00B43649"/>
    <w:rsid w:val="00B50965"/>
    <w:rsid w:val="00B511BA"/>
    <w:rsid w:val="00B5565B"/>
    <w:rsid w:val="00B55D73"/>
    <w:rsid w:val="00B61F50"/>
    <w:rsid w:val="00B66430"/>
    <w:rsid w:val="00B67317"/>
    <w:rsid w:val="00B67AA4"/>
    <w:rsid w:val="00B72B39"/>
    <w:rsid w:val="00B74948"/>
    <w:rsid w:val="00B75586"/>
    <w:rsid w:val="00B80246"/>
    <w:rsid w:val="00B82468"/>
    <w:rsid w:val="00B82AA8"/>
    <w:rsid w:val="00B82E3A"/>
    <w:rsid w:val="00B84694"/>
    <w:rsid w:val="00B84F79"/>
    <w:rsid w:val="00B87045"/>
    <w:rsid w:val="00B93C3A"/>
    <w:rsid w:val="00B94435"/>
    <w:rsid w:val="00B955FD"/>
    <w:rsid w:val="00B96B78"/>
    <w:rsid w:val="00BA05EE"/>
    <w:rsid w:val="00BA0CA8"/>
    <w:rsid w:val="00BA3064"/>
    <w:rsid w:val="00BA4DC7"/>
    <w:rsid w:val="00BA760E"/>
    <w:rsid w:val="00BB006B"/>
    <w:rsid w:val="00BB0865"/>
    <w:rsid w:val="00BB2BC1"/>
    <w:rsid w:val="00BB3C4D"/>
    <w:rsid w:val="00BB60AD"/>
    <w:rsid w:val="00BB7E11"/>
    <w:rsid w:val="00BC4261"/>
    <w:rsid w:val="00BC5EFB"/>
    <w:rsid w:val="00BD0817"/>
    <w:rsid w:val="00BD2986"/>
    <w:rsid w:val="00BD2CD6"/>
    <w:rsid w:val="00BD5647"/>
    <w:rsid w:val="00BD5867"/>
    <w:rsid w:val="00BD7130"/>
    <w:rsid w:val="00BE2961"/>
    <w:rsid w:val="00BF5235"/>
    <w:rsid w:val="00BF58FC"/>
    <w:rsid w:val="00BF755D"/>
    <w:rsid w:val="00BF7BF9"/>
    <w:rsid w:val="00C01A5E"/>
    <w:rsid w:val="00C04826"/>
    <w:rsid w:val="00C15E9E"/>
    <w:rsid w:val="00C20215"/>
    <w:rsid w:val="00C21294"/>
    <w:rsid w:val="00C27D23"/>
    <w:rsid w:val="00C304B3"/>
    <w:rsid w:val="00C31033"/>
    <w:rsid w:val="00C312CC"/>
    <w:rsid w:val="00C3168E"/>
    <w:rsid w:val="00C319EC"/>
    <w:rsid w:val="00C321D1"/>
    <w:rsid w:val="00C34014"/>
    <w:rsid w:val="00C35941"/>
    <w:rsid w:val="00C36651"/>
    <w:rsid w:val="00C401BC"/>
    <w:rsid w:val="00C43217"/>
    <w:rsid w:val="00C444EA"/>
    <w:rsid w:val="00C45490"/>
    <w:rsid w:val="00C4679F"/>
    <w:rsid w:val="00C4783F"/>
    <w:rsid w:val="00C5166C"/>
    <w:rsid w:val="00C51A73"/>
    <w:rsid w:val="00C55748"/>
    <w:rsid w:val="00C56CEF"/>
    <w:rsid w:val="00C572BD"/>
    <w:rsid w:val="00C611DF"/>
    <w:rsid w:val="00C61D8E"/>
    <w:rsid w:val="00C62CDE"/>
    <w:rsid w:val="00C704D7"/>
    <w:rsid w:val="00C70B42"/>
    <w:rsid w:val="00C7455C"/>
    <w:rsid w:val="00C74841"/>
    <w:rsid w:val="00C76002"/>
    <w:rsid w:val="00C81F83"/>
    <w:rsid w:val="00C866A8"/>
    <w:rsid w:val="00C91562"/>
    <w:rsid w:val="00C91EA8"/>
    <w:rsid w:val="00C93413"/>
    <w:rsid w:val="00C96205"/>
    <w:rsid w:val="00CA4049"/>
    <w:rsid w:val="00CA6DAE"/>
    <w:rsid w:val="00CB2FAC"/>
    <w:rsid w:val="00CB7B2A"/>
    <w:rsid w:val="00CB7CBA"/>
    <w:rsid w:val="00CC7EBD"/>
    <w:rsid w:val="00CD0FC7"/>
    <w:rsid w:val="00CD2035"/>
    <w:rsid w:val="00CD2AC5"/>
    <w:rsid w:val="00CD2C53"/>
    <w:rsid w:val="00CE261D"/>
    <w:rsid w:val="00CE3F2C"/>
    <w:rsid w:val="00CE5463"/>
    <w:rsid w:val="00CF37F7"/>
    <w:rsid w:val="00CF3809"/>
    <w:rsid w:val="00CF3899"/>
    <w:rsid w:val="00D01A16"/>
    <w:rsid w:val="00D0266E"/>
    <w:rsid w:val="00D038A0"/>
    <w:rsid w:val="00D1588F"/>
    <w:rsid w:val="00D1618C"/>
    <w:rsid w:val="00D224AA"/>
    <w:rsid w:val="00D24621"/>
    <w:rsid w:val="00D25EC9"/>
    <w:rsid w:val="00D25F52"/>
    <w:rsid w:val="00D261CD"/>
    <w:rsid w:val="00D26B0F"/>
    <w:rsid w:val="00D2726F"/>
    <w:rsid w:val="00D44BD3"/>
    <w:rsid w:val="00D45015"/>
    <w:rsid w:val="00D45FA7"/>
    <w:rsid w:val="00D46ED2"/>
    <w:rsid w:val="00D61B3A"/>
    <w:rsid w:val="00D64CF7"/>
    <w:rsid w:val="00D65450"/>
    <w:rsid w:val="00D66E4E"/>
    <w:rsid w:val="00D67540"/>
    <w:rsid w:val="00D701F0"/>
    <w:rsid w:val="00D71450"/>
    <w:rsid w:val="00D71F35"/>
    <w:rsid w:val="00D72517"/>
    <w:rsid w:val="00D73EB1"/>
    <w:rsid w:val="00D74588"/>
    <w:rsid w:val="00D7470F"/>
    <w:rsid w:val="00D80B9F"/>
    <w:rsid w:val="00D829B9"/>
    <w:rsid w:val="00D82C49"/>
    <w:rsid w:val="00D83398"/>
    <w:rsid w:val="00D8365C"/>
    <w:rsid w:val="00D83E38"/>
    <w:rsid w:val="00D84E07"/>
    <w:rsid w:val="00D86C6F"/>
    <w:rsid w:val="00D95445"/>
    <w:rsid w:val="00DA1B07"/>
    <w:rsid w:val="00DA1F76"/>
    <w:rsid w:val="00DA349F"/>
    <w:rsid w:val="00DA628F"/>
    <w:rsid w:val="00DA6D3B"/>
    <w:rsid w:val="00DA6EF8"/>
    <w:rsid w:val="00DB20DE"/>
    <w:rsid w:val="00DB25F8"/>
    <w:rsid w:val="00DB2BA4"/>
    <w:rsid w:val="00DB4FA7"/>
    <w:rsid w:val="00DC1307"/>
    <w:rsid w:val="00DC63E1"/>
    <w:rsid w:val="00DC6800"/>
    <w:rsid w:val="00DD2CC7"/>
    <w:rsid w:val="00DD3CDE"/>
    <w:rsid w:val="00DD49A4"/>
    <w:rsid w:val="00DD52E7"/>
    <w:rsid w:val="00DE0AC1"/>
    <w:rsid w:val="00DE1BC9"/>
    <w:rsid w:val="00DE3FB0"/>
    <w:rsid w:val="00DE6025"/>
    <w:rsid w:val="00DE7F6D"/>
    <w:rsid w:val="00DF02BD"/>
    <w:rsid w:val="00DF3B18"/>
    <w:rsid w:val="00DF494A"/>
    <w:rsid w:val="00E0043A"/>
    <w:rsid w:val="00E120C9"/>
    <w:rsid w:val="00E134FB"/>
    <w:rsid w:val="00E13528"/>
    <w:rsid w:val="00E17AC9"/>
    <w:rsid w:val="00E20F47"/>
    <w:rsid w:val="00E25116"/>
    <w:rsid w:val="00E253D8"/>
    <w:rsid w:val="00E25551"/>
    <w:rsid w:val="00E328A5"/>
    <w:rsid w:val="00E42CB6"/>
    <w:rsid w:val="00E43DA2"/>
    <w:rsid w:val="00E51D22"/>
    <w:rsid w:val="00E53640"/>
    <w:rsid w:val="00E54A70"/>
    <w:rsid w:val="00E5641B"/>
    <w:rsid w:val="00E5666F"/>
    <w:rsid w:val="00E664AA"/>
    <w:rsid w:val="00E66A01"/>
    <w:rsid w:val="00E674E4"/>
    <w:rsid w:val="00E70608"/>
    <w:rsid w:val="00E730C2"/>
    <w:rsid w:val="00E74879"/>
    <w:rsid w:val="00E76E83"/>
    <w:rsid w:val="00E8468F"/>
    <w:rsid w:val="00E90748"/>
    <w:rsid w:val="00E912C4"/>
    <w:rsid w:val="00E91333"/>
    <w:rsid w:val="00E9509E"/>
    <w:rsid w:val="00EA2F6C"/>
    <w:rsid w:val="00EA3152"/>
    <w:rsid w:val="00EA396D"/>
    <w:rsid w:val="00EA484B"/>
    <w:rsid w:val="00EB7BEC"/>
    <w:rsid w:val="00EC11FB"/>
    <w:rsid w:val="00EC20B8"/>
    <w:rsid w:val="00EC41FC"/>
    <w:rsid w:val="00EC49B3"/>
    <w:rsid w:val="00EC4FFE"/>
    <w:rsid w:val="00EC6A69"/>
    <w:rsid w:val="00ED1583"/>
    <w:rsid w:val="00ED24FC"/>
    <w:rsid w:val="00ED293E"/>
    <w:rsid w:val="00ED357A"/>
    <w:rsid w:val="00EE0F00"/>
    <w:rsid w:val="00EE2BCC"/>
    <w:rsid w:val="00EE6427"/>
    <w:rsid w:val="00EE7860"/>
    <w:rsid w:val="00EF44B9"/>
    <w:rsid w:val="00EF44FB"/>
    <w:rsid w:val="00EF5311"/>
    <w:rsid w:val="00EF5BDF"/>
    <w:rsid w:val="00EF7DEB"/>
    <w:rsid w:val="00F07E4B"/>
    <w:rsid w:val="00F122BC"/>
    <w:rsid w:val="00F13916"/>
    <w:rsid w:val="00F13A0D"/>
    <w:rsid w:val="00F14BBD"/>
    <w:rsid w:val="00F14BED"/>
    <w:rsid w:val="00F14F44"/>
    <w:rsid w:val="00F16AD7"/>
    <w:rsid w:val="00F17B59"/>
    <w:rsid w:val="00F20100"/>
    <w:rsid w:val="00F21532"/>
    <w:rsid w:val="00F2201B"/>
    <w:rsid w:val="00F228FA"/>
    <w:rsid w:val="00F254F5"/>
    <w:rsid w:val="00F25E9F"/>
    <w:rsid w:val="00F2645B"/>
    <w:rsid w:val="00F269CF"/>
    <w:rsid w:val="00F27BA2"/>
    <w:rsid w:val="00F31727"/>
    <w:rsid w:val="00F36071"/>
    <w:rsid w:val="00F36BC1"/>
    <w:rsid w:val="00F37B72"/>
    <w:rsid w:val="00F428E5"/>
    <w:rsid w:val="00F4337A"/>
    <w:rsid w:val="00F43E32"/>
    <w:rsid w:val="00F52196"/>
    <w:rsid w:val="00F528C6"/>
    <w:rsid w:val="00F554F8"/>
    <w:rsid w:val="00F60135"/>
    <w:rsid w:val="00F64F1E"/>
    <w:rsid w:val="00F659C7"/>
    <w:rsid w:val="00F6686F"/>
    <w:rsid w:val="00F700E7"/>
    <w:rsid w:val="00F734FC"/>
    <w:rsid w:val="00F77793"/>
    <w:rsid w:val="00F84C3B"/>
    <w:rsid w:val="00F85A80"/>
    <w:rsid w:val="00F85F3A"/>
    <w:rsid w:val="00F86A0D"/>
    <w:rsid w:val="00F909AA"/>
    <w:rsid w:val="00F93F80"/>
    <w:rsid w:val="00FA0364"/>
    <w:rsid w:val="00FA0EAF"/>
    <w:rsid w:val="00FA49E0"/>
    <w:rsid w:val="00FA5B69"/>
    <w:rsid w:val="00FA5F53"/>
    <w:rsid w:val="00FA671B"/>
    <w:rsid w:val="00FB03AE"/>
    <w:rsid w:val="00FB306B"/>
    <w:rsid w:val="00FB44E4"/>
    <w:rsid w:val="00FC0724"/>
    <w:rsid w:val="00FC24C6"/>
    <w:rsid w:val="00FC3340"/>
    <w:rsid w:val="00FC402A"/>
    <w:rsid w:val="00FC7BF4"/>
    <w:rsid w:val="00FC7DD5"/>
    <w:rsid w:val="00FD3432"/>
    <w:rsid w:val="00FE1FB1"/>
    <w:rsid w:val="00FE5750"/>
    <w:rsid w:val="00FE6BA8"/>
    <w:rsid w:val="00FF152C"/>
    <w:rsid w:val="00FF34A7"/>
    <w:rsid w:val="00FF373D"/>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55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Helvetica"/>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qFormat="1"/>
    <w:lsdException w:name="List 2" w:uiPriority="0" w:qFormat="1"/>
    <w:lsdException w:name="Lis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B"/>
  </w:style>
  <w:style w:type="paragraph" w:styleId="Heading1">
    <w:name w:val="heading 1"/>
    <w:basedOn w:val="Normal"/>
    <w:next w:val="Bodytext"/>
    <w:link w:val="Heading1Char"/>
    <w:uiPriority w:val="9"/>
    <w:qFormat/>
    <w:rsid w:val="00953E64"/>
    <w:pPr>
      <w:pageBreakBefore/>
      <w:numPr>
        <w:numId w:val="3"/>
      </w:numPr>
      <w:tabs>
        <w:tab w:val="left" w:pos="567"/>
        <w:tab w:val="left" w:pos="3175"/>
        <w:tab w:val="left" w:pos="4763"/>
      </w:tabs>
      <w:spacing w:after="240" w:line="240" w:lineRule="atLeast"/>
      <w:jc w:val="both"/>
      <w:outlineLvl w:val="0"/>
    </w:pPr>
    <w:rPr>
      <w:rFonts w:eastAsia="Times New Roman" w:cs="Times New Roman"/>
      <w:b/>
      <w:color w:val="C00000"/>
      <w:sz w:val="24"/>
      <w:szCs w:val="24"/>
      <w:lang w:val="en-GB" w:eastAsia="nl-NL"/>
    </w:rPr>
  </w:style>
  <w:style w:type="paragraph" w:styleId="Heading2">
    <w:name w:val="heading 2"/>
    <w:basedOn w:val="Normal"/>
    <w:next w:val="Normal"/>
    <w:link w:val="Heading2Char"/>
    <w:uiPriority w:val="9"/>
    <w:unhideWhenUsed/>
    <w:qFormat/>
    <w:rsid w:val="004D39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39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lp1,Bullet paras,Main numbered paragraph,Bullets,List Paragraph Char Char Char,List Paragraph2,List Paragraph 1,NUMBERED PARAGRAPH,Akapit z listą BS,References,List Paragraph1,Bullet1"/>
    <w:basedOn w:val="Normal"/>
    <w:link w:val="ListParagraphChar"/>
    <w:uiPriority w:val="34"/>
    <w:qFormat/>
    <w:rsid w:val="00701226"/>
    <w:pPr>
      <w:ind w:left="720"/>
      <w:contextualSpacing/>
    </w:pPr>
  </w:style>
  <w:style w:type="paragraph" w:styleId="BalloonText">
    <w:name w:val="Balloon Text"/>
    <w:basedOn w:val="Normal"/>
    <w:link w:val="BalloonTextChar"/>
    <w:uiPriority w:val="99"/>
    <w:semiHidden/>
    <w:unhideWhenUsed/>
    <w:rsid w:val="000C6B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B03"/>
    <w:rPr>
      <w:rFonts w:ascii="Lucida Grande" w:hAnsi="Lucida Grande"/>
      <w:sz w:val="18"/>
      <w:szCs w:val="18"/>
    </w:rPr>
  </w:style>
  <w:style w:type="paragraph" w:styleId="TOC1">
    <w:name w:val="toc 1"/>
    <w:basedOn w:val="Normal"/>
    <w:next w:val="Normal"/>
    <w:autoRedefine/>
    <w:uiPriority w:val="39"/>
    <w:rsid w:val="0032254A"/>
    <w:pPr>
      <w:tabs>
        <w:tab w:val="left" w:pos="480"/>
        <w:tab w:val="right" w:leader="dot" w:pos="8647"/>
      </w:tabs>
      <w:spacing w:before="240"/>
    </w:pPr>
    <w:rPr>
      <w:rFonts w:ascii="Times New Roman" w:eastAsia="Times New Roman" w:hAnsi="Times New Roman" w:cs="Times New Roman"/>
      <w:szCs w:val="24"/>
      <w:lang w:eastAsia="en-US"/>
    </w:rPr>
  </w:style>
  <w:style w:type="character" w:styleId="Hyperlink">
    <w:name w:val="Hyperlink"/>
    <w:uiPriority w:val="99"/>
    <w:rsid w:val="0032254A"/>
    <w:rPr>
      <w:rFonts w:cs="Times New Roman"/>
      <w:color w:val="0000FF"/>
      <w:u w:val="single"/>
    </w:rPr>
  </w:style>
  <w:style w:type="paragraph" w:customStyle="1" w:styleId="ParagraphTextNormal">
    <w:name w:val="Paragraph Text Normal"/>
    <w:basedOn w:val="Normal"/>
    <w:uiPriority w:val="99"/>
    <w:rsid w:val="00634088"/>
    <w:pPr>
      <w:spacing w:before="240" w:after="240" w:line="280" w:lineRule="atLeast"/>
      <w:jc w:val="both"/>
    </w:pPr>
    <w:rPr>
      <w:rFonts w:ascii="Garamond" w:eastAsia="Times New Roman" w:hAnsi="Garamond" w:cs="Garamond"/>
      <w:sz w:val="24"/>
      <w:szCs w:val="24"/>
      <w:lang w:eastAsia="en-US"/>
    </w:rPr>
  </w:style>
  <w:style w:type="paragraph" w:customStyle="1" w:styleId="Default">
    <w:name w:val="Default"/>
    <w:rsid w:val="00634088"/>
    <w:pPr>
      <w:widowControl w:val="0"/>
      <w:autoSpaceDE w:val="0"/>
      <w:autoSpaceDN w:val="0"/>
      <w:adjustRightInd w:val="0"/>
    </w:pPr>
    <w:rPr>
      <w:rFonts w:cs="Arial"/>
      <w:color w:val="000000"/>
      <w:sz w:val="24"/>
      <w:szCs w:val="24"/>
    </w:rPr>
  </w:style>
  <w:style w:type="paragraph" w:customStyle="1" w:styleId="Bullet2">
    <w:name w:val="Bullet 2"/>
    <w:basedOn w:val="Normal"/>
    <w:link w:val="Bullet2Char"/>
    <w:qFormat/>
    <w:rsid w:val="00640306"/>
    <w:pPr>
      <w:numPr>
        <w:numId w:val="1"/>
      </w:numPr>
      <w:spacing w:before="60"/>
    </w:pPr>
    <w:rPr>
      <w:rFonts w:ascii="Times New Roman" w:eastAsia="SimSun" w:hAnsi="Times New Roman" w:cs="Times New Roman"/>
      <w:szCs w:val="24"/>
      <w:lang w:val="en-GB" w:eastAsia="zh-CN"/>
    </w:rPr>
  </w:style>
  <w:style w:type="character" w:customStyle="1" w:styleId="Bullet2Char">
    <w:name w:val="Bullet 2 Char"/>
    <w:link w:val="Bullet2"/>
    <w:locked/>
    <w:rsid w:val="00640306"/>
    <w:rPr>
      <w:rFonts w:ascii="Times New Roman" w:eastAsia="SimSun" w:hAnsi="Times New Roman" w:cs="Times New Roman"/>
      <w:szCs w:val="24"/>
      <w:lang w:val="en-GB" w:eastAsia="zh-CN"/>
    </w:rPr>
  </w:style>
  <w:style w:type="paragraph" w:styleId="Footer">
    <w:name w:val="footer"/>
    <w:basedOn w:val="Normal"/>
    <w:link w:val="FooterChar"/>
    <w:uiPriority w:val="99"/>
    <w:unhideWhenUsed/>
    <w:rsid w:val="004861B4"/>
    <w:pPr>
      <w:tabs>
        <w:tab w:val="center" w:pos="4320"/>
        <w:tab w:val="right" w:pos="8640"/>
      </w:tabs>
    </w:pPr>
  </w:style>
  <w:style w:type="character" w:customStyle="1" w:styleId="FooterChar">
    <w:name w:val="Footer Char"/>
    <w:basedOn w:val="DefaultParagraphFont"/>
    <w:link w:val="Footer"/>
    <w:uiPriority w:val="99"/>
    <w:rsid w:val="004861B4"/>
  </w:style>
  <w:style w:type="character" w:styleId="PageNumber">
    <w:name w:val="page number"/>
    <w:basedOn w:val="DefaultParagraphFont"/>
    <w:uiPriority w:val="99"/>
    <w:semiHidden/>
    <w:unhideWhenUsed/>
    <w:rsid w:val="004861B4"/>
  </w:style>
  <w:style w:type="paragraph" w:styleId="Caption">
    <w:name w:val="caption"/>
    <w:basedOn w:val="Normal"/>
    <w:next w:val="Normal"/>
    <w:qFormat/>
    <w:rsid w:val="00ED24FC"/>
    <w:pPr>
      <w:spacing w:after="120"/>
      <w:ind w:left="1021" w:hanging="1021"/>
    </w:pPr>
    <w:rPr>
      <w:rFonts w:ascii="Times New Roman" w:eastAsia="Times New Roman" w:hAnsi="Times New Roman" w:cs="Times New Roman"/>
      <w:b/>
      <w:bCs/>
      <w:u w:val="single"/>
      <w:lang w:eastAsia="en-US"/>
    </w:rPr>
  </w:style>
  <w:style w:type="paragraph" w:styleId="List2">
    <w:name w:val="List 2"/>
    <w:basedOn w:val="Normal"/>
    <w:qFormat/>
    <w:rsid w:val="00ED24FC"/>
    <w:pPr>
      <w:numPr>
        <w:ilvl w:val="1"/>
        <w:numId w:val="2"/>
      </w:numPr>
      <w:spacing w:before="240"/>
      <w:jc w:val="both"/>
    </w:pPr>
    <w:rPr>
      <w:rFonts w:ascii="Times New Roman" w:eastAsia="SimSun" w:hAnsi="Times New Roman" w:cs="Times New Roman"/>
      <w:szCs w:val="24"/>
      <w:lang w:eastAsia="zh-CN"/>
    </w:rPr>
  </w:style>
  <w:style w:type="paragraph" w:customStyle="1" w:styleId="List1">
    <w:name w:val="List 1"/>
    <w:basedOn w:val="Bullet2"/>
    <w:link w:val="List1Char"/>
    <w:qFormat/>
    <w:rsid w:val="00ED24FC"/>
    <w:pPr>
      <w:numPr>
        <w:numId w:val="2"/>
      </w:numPr>
      <w:spacing w:before="240"/>
      <w:jc w:val="both"/>
    </w:pPr>
  </w:style>
  <w:style w:type="paragraph" w:styleId="List3">
    <w:name w:val="List 3"/>
    <w:basedOn w:val="Normal"/>
    <w:qFormat/>
    <w:rsid w:val="00ED24FC"/>
    <w:pPr>
      <w:numPr>
        <w:ilvl w:val="2"/>
        <w:numId w:val="2"/>
      </w:numPr>
      <w:spacing w:before="120"/>
    </w:pPr>
    <w:rPr>
      <w:rFonts w:ascii="Times New Roman" w:eastAsia="Times New Roman" w:hAnsi="Times New Roman" w:cs="Times New Roman"/>
      <w:szCs w:val="24"/>
      <w:lang w:val="en-GB" w:eastAsia="en-US"/>
    </w:rPr>
  </w:style>
  <w:style w:type="character" w:customStyle="1" w:styleId="List1Char">
    <w:name w:val="List 1 Char"/>
    <w:basedOn w:val="Bullet2Char"/>
    <w:link w:val="List1"/>
    <w:locked/>
    <w:rsid w:val="00ED24FC"/>
    <w:rPr>
      <w:rFonts w:ascii="Times New Roman" w:eastAsia="SimSun" w:hAnsi="Times New Roman" w:cs="Times New Roman"/>
      <w:szCs w:val="24"/>
      <w:lang w:val="en-GB" w:eastAsia="zh-CN"/>
    </w:rPr>
  </w:style>
  <w:style w:type="character" w:styleId="CommentReference">
    <w:name w:val="annotation reference"/>
    <w:uiPriority w:val="99"/>
    <w:semiHidden/>
    <w:rsid w:val="007425CA"/>
    <w:rPr>
      <w:rFonts w:cs="Times New Roman"/>
      <w:sz w:val="16"/>
      <w:szCs w:val="16"/>
    </w:rPr>
  </w:style>
  <w:style w:type="paragraph" w:styleId="CommentText">
    <w:name w:val="annotation text"/>
    <w:basedOn w:val="Normal"/>
    <w:link w:val="CommentTextChar"/>
    <w:uiPriority w:val="99"/>
    <w:semiHidden/>
    <w:rsid w:val="007425CA"/>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7425CA"/>
    <w:rPr>
      <w:rFonts w:ascii="Times New Roman" w:eastAsia="Times New Roman" w:hAnsi="Times New Roman" w:cs="Times New Roman"/>
      <w:sz w:val="20"/>
      <w:szCs w:val="20"/>
      <w:lang w:val="en-GB" w:eastAsia="en-US"/>
    </w:rPr>
  </w:style>
  <w:style w:type="paragraph" w:styleId="FootnoteText">
    <w:name w:val="footnote text"/>
    <w:aliases w:val="ft,single space,Footnote Text Char Char Char Char Char Char Char Char Char Char,Footnote Text Char Char Char Char Char Char Char Char Char Char Char Char,Footnote Text2,ft2,FOOTNOTES,fn,ft Char Char Char,(NECG) Footnote Text,Fußnotentextf"/>
    <w:basedOn w:val="Normal"/>
    <w:link w:val="FootnoteTextChar"/>
    <w:uiPriority w:val="99"/>
    <w:unhideWhenUsed/>
    <w:qFormat/>
    <w:rsid w:val="008E030F"/>
    <w:rPr>
      <w:sz w:val="24"/>
      <w:szCs w:val="24"/>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OOTNOTES Char,fn Char"/>
    <w:basedOn w:val="DefaultParagraphFont"/>
    <w:link w:val="FootnoteText"/>
    <w:uiPriority w:val="99"/>
    <w:rsid w:val="008E030F"/>
    <w:rPr>
      <w:sz w:val="24"/>
      <w:szCs w:val="24"/>
    </w:rPr>
  </w:style>
  <w:style w:type="character" w:styleId="FootnoteReference">
    <w:name w:val="footnote reference"/>
    <w:aliases w:val="ftref,16 Point,Superscript 6 Point,(NECG) Footnote Reference,Ref,de nota al pie,fr,Footnote Ref in FtNote,BVI fnr,Fußnotenzeichen DISS,SUPERS,footnote ref,Char Char Char Char Car Char,Footnote Reference Number, BVI fnr,Footnote symbol"/>
    <w:basedOn w:val="DefaultParagraphFont"/>
    <w:uiPriority w:val="99"/>
    <w:unhideWhenUsed/>
    <w:rsid w:val="008E030F"/>
    <w:rPr>
      <w:vertAlign w:val="superscript"/>
    </w:rPr>
  </w:style>
  <w:style w:type="paragraph" w:styleId="Header">
    <w:name w:val="header"/>
    <w:basedOn w:val="Normal"/>
    <w:link w:val="HeaderChar"/>
    <w:uiPriority w:val="99"/>
    <w:unhideWhenUsed/>
    <w:rsid w:val="00FF373D"/>
    <w:pPr>
      <w:tabs>
        <w:tab w:val="center" w:pos="4320"/>
        <w:tab w:val="right" w:pos="8640"/>
      </w:tabs>
    </w:pPr>
  </w:style>
  <w:style w:type="character" w:customStyle="1" w:styleId="HeaderChar">
    <w:name w:val="Header Char"/>
    <w:basedOn w:val="DefaultParagraphFont"/>
    <w:link w:val="Header"/>
    <w:uiPriority w:val="99"/>
    <w:rsid w:val="00FF373D"/>
  </w:style>
  <w:style w:type="character" w:customStyle="1" w:styleId="Heading1Char">
    <w:name w:val="Heading 1 Char"/>
    <w:basedOn w:val="DefaultParagraphFont"/>
    <w:link w:val="Heading1"/>
    <w:uiPriority w:val="9"/>
    <w:rsid w:val="00953E64"/>
    <w:rPr>
      <w:rFonts w:eastAsia="Times New Roman" w:cs="Times New Roman"/>
      <w:b/>
      <w:color w:val="C00000"/>
      <w:sz w:val="24"/>
      <w:szCs w:val="24"/>
      <w:lang w:val="en-GB" w:eastAsia="nl-NL"/>
    </w:rPr>
  </w:style>
  <w:style w:type="paragraph" w:customStyle="1" w:styleId="Bodytext">
    <w:name w:val="Bodytext"/>
    <w:basedOn w:val="Normal"/>
    <w:rsid w:val="00953E64"/>
    <w:pPr>
      <w:spacing w:after="120" w:line="240" w:lineRule="atLeast"/>
      <w:jc w:val="both"/>
    </w:pPr>
    <w:rPr>
      <w:rFonts w:eastAsia="Times New Roman" w:cs="Times New Roman"/>
      <w:sz w:val="18"/>
      <w:szCs w:val="18"/>
      <w:lang w:val="en-GB" w:eastAsia="nl-NL"/>
    </w:rPr>
  </w:style>
  <w:style w:type="paragraph" w:styleId="NoSpacing">
    <w:name w:val="No Spacing"/>
    <w:link w:val="NoSpacingChar"/>
    <w:uiPriority w:val="1"/>
    <w:qFormat/>
    <w:rsid w:val="00F20100"/>
    <w:rPr>
      <w:rFonts w:asciiTheme="minorHAnsi" w:hAnsiTheme="minorHAnsi" w:cstheme="minorBidi"/>
      <w:lang w:eastAsia="en-US"/>
    </w:rPr>
  </w:style>
  <w:style w:type="table" w:styleId="TableGrid">
    <w:name w:val="Table Grid"/>
    <w:basedOn w:val="TableNormal"/>
    <w:uiPriority w:val="39"/>
    <w:rsid w:val="00437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2E5F"/>
    <w:pPr>
      <w:spacing w:before="100" w:beforeAutospacing="1" w:after="100" w:afterAutospacing="1"/>
    </w:pPr>
    <w:rPr>
      <w:rFonts w:ascii="Times New Roman" w:hAnsi="Times New Roman" w:cs="Times New Roman"/>
      <w:sz w:val="24"/>
      <w:szCs w:val="24"/>
      <w:lang w:eastAsia="en-US"/>
    </w:rPr>
  </w:style>
  <w:style w:type="paragraph" w:customStyle="1" w:styleId="ParagraphNumbering">
    <w:name w:val="Paragraph Numbering"/>
    <w:basedOn w:val="Normal"/>
    <w:link w:val="ParagraphNumberingChar"/>
    <w:qFormat/>
    <w:rsid w:val="00CE3F2C"/>
    <w:pPr>
      <w:numPr>
        <w:numId w:val="5"/>
      </w:numPr>
      <w:spacing w:after="240" w:line="264" w:lineRule="auto"/>
    </w:pPr>
    <w:rPr>
      <w:rFonts w:ascii="Times New Roman" w:eastAsia="SimSun" w:hAnsi="Times New Roman" w:cs="Times New Roman"/>
      <w:sz w:val="24"/>
      <w:szCs w:val="24"/>
      <w:lang w:eastAsia="en-US"/>
    </w:rPr>
  </w:style>
  <w:style w:type="character" w:customStyle="1" w:styleId="ParagraphNumberingChar">
    <w:name w:val="Paragraph Numbering Char"/>
    <w:basedOn w:val="DefaultParagraphFont"/>
    <w:link w:val="ParagraphNumbering"/>
    <w:locked/>
    <w:rsid w:val="00CE3F2C"/>
    <w:rPr>
      <w:rFonts w:ascii="Times New Roman" w:eastAsia="SimSun" w:hAnsi="Times New Roman" w:cs="Times New Roman"/>
      <w:sz w:val="24"/>
      <w:szCs w:val="24"/>
      <w:lang w:eastAsia="en-US"/>
    </w:rPr>
  </w:style>
  <w:style w:type="paragraph" w:customStyle="1" w:styleId="Bulletstab">
    <w:name w:val="Bullets tab"/>
    <w:basedOn w:val="Normal"/>
    <w:uiPriority w:val="99"/>
    <w:rsid w:val="00C70B42"/>
    <w:pPr>
      <w:widowControl w:val="0"/>
      <w:numPr>
        <w:ilvl w:val="1"/>
        <w:numId w:val="6"/>
      </w:numPr>
      <w:spacing w:after="120"/>
      <w:jc w:val="both"/>
    </w:pPr>
    <w:rPr>
      <w:rFonts w:eastAsia="Times New Roman" w:cs="Arial"/>
      <w:bCs/>
      <w:lang w:eastAsia="en-US"/>
    </w:rPr>
  </w:style>
  <w:style w:type="paragraph" w:styleId="ListBullet">
    <w:name w:val="List Bullet"/>
    <w:basedOn w:val="Normal"/>
    <w:uiPriority w:val="99"/>
    <w:qFormat/>
    <w:rsid w:val="00BF58FC"/>
    <w:pPr>
      <w:numPr>
        <w:numId w:val="7"/>
      </w:numPr>
      <w:spacing w:after="240" w:line="264" w:lineRule="auto"/>
    </w:pPr>
    <w:rPr>
      <w:rFonts w:ascii="Times New Roman" w:eastAsia="Times New Roman" w:hAnsi="Times New Roman" w:cs="Times New Roman"/>
      <w:sz w:val="24"/>
      <w:szCs w:val="24"/>
      <w:lang w:eastAsia="en-US"/>
    </w:rPr>
  </w:style>
  <w:style w:type="character" w:customStyle="1" w:styleId="ListParagraphChar">
    <w:name w:val="List Paragraph Char"/>
    <w:aliases w:val="List Paragraph (numbered (a)) Char,Use Case List Paragraph Char,lp1 Char,Bullet paras Char,Main numbered paragraph Char,Bullets Char,List Paragraph Char Char Char Char,List Paragraph2 Char,List Paragraph 1 Char,Akapit z listą BS Char"/>
    <w:basedOn w:val="DefaultParagraphFont"/>
    <w:link w:val="ListParagraph"/>
    <w:uiPriority w:val="34"/>
    <w:rsid w:val="00D038A0"/>
  </w:style>
  <w:style w:type="character" w:customStyle="1" w:styleId="apple-converted-space">
    <w:name w:val="apple-converted-space"/>
    <w:basedOn w:val="DefaultParagraphFont"/>
    <w:rsid w:val="002279ED"/>
  </w:style>
  <w:style w:type="character" w:styleId="Strong">
    <w:name w:val="Strong"/>
    <w:basedOn w:val="DefaultParagraphFont"/>
    <w:uiPriority w:val="22"/>
    <w:qFormat/>
    <w:rsid w:val="002279ED"/>
    <w:rPr>
      <w:b/>
      <w:bCs/>
    </w:rPr>
  </w:style>
  <w:style w:type="character" w:customStyle="1" w:styleId="NoSpacingChar">
    <w:name w:val="No Spacing Char"/>
    <w:basedOn w:val="DefaultParagraphFont"/>
    <w:link w:val="NoSpacing"/>
    <w:uiPriority w:val="1"/>
    <w:rsid w:val="00716950"/>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545C3"/>
    <w:rPr>
      <w:rFonts w:ascii="Arial" w:eastAsiaTheme="minorEastAsia" w:hAnsi="Arial" w:cs="Helvetica"/>
      <w:b/>
      <w:bCs/>
      <w:lang w:val="en-US" w:eastAsia="ja-JP"/>
    </w:rPr>
  </w:style>
  <w:style w:type="character" w:customStyle="1" w:styleId="CommentSubjectChar">
    <w:name w:val="Comment Subject Char"/>
    <w:basedOn w:val="CommentTextChar"/>
    <w:link w:val="CommentSubject"/>
    <w:uiPriority w:val="99"/>
    <w:semiHidden/>
    <w:rsid w:val="009545C3"/>
    <w:rPr>
      <w:rFonts w:ascii="Times New Roman" w:eastAsia="Times New Roman" w:hAnsi="Times New Roman" w:cs="Times New Roman"/>
      <w:b/>
      <w:bCs/>
      <w:sz w:val="20"/>
      <w:szCs w:val="20"/>
      <w:lang w:val="en-GB" w:eastAsia="en-US"/>
    </w:rPr>
  </w:style>
  <w:style w:type="paragraph" w:styleId="BodyText0">
    <w:name w:val="Body Text"/>
    <w:basedOn w:val="Normal"/>
    <w:link w:val="BodyTextChar"/>
    <w:rsid w:val="009545C3"/>
    <w:pPr>
      <w:suppressAutoHyphens/>
      <w:jc w:val="both"/>
    </w:pPr>
    <w:rPr>
      <w:rFonts w:eastAsia="Times New Roman" w:cs="Times New Roman"/>
      <w:i/>
      <w:szCs w:val="20"/>
      <w:lang w:val="en-GB" w:eastAsia="ar-SA"/>
    </w:rPr>
  </w:style>
  <w:style w:type="character" w:customStyle="1" w:styleId="BodyTextChar">
    <w:name w:val="Body Text Char"/>
    <w:basedOn w:val="DefaultParagraphFont"/>
    <w:link w:val="BodyText0"/>
    <w:rsid w:val="009545C3"/>
    <w:rPr>
      <w:rFonts w:eastAsia="Times New Roman" w:cs="Times New Roman"/>
      <w:i/>
      <w:szCs w:val="20"/>
      <w:lang w:val="en-GB" w:eastAsia="ar-SA"/>
    </w:rPr>
  </w:style>
  <w:style w:type="paragraph" w:customStyle="1" w:styleId="mechtex">
    <w:name w:val="mechtex"/>
    <w:basedOn w:val="Normal"/>
    <w:link w:val="mechtexChar"/>
    <w:rsid w:val="009545C3"/>
    <w:pPr>
      <w:jc w:val="center"/>
    </w:pPr>
    <w:rPr>
      <w:rFonts w:ascii="Arial Armenian" w:eastAsia="Times New Roman" w:hAnsi="Arial Armenian" w:cs="Times New Roman"/>
      <w:szCs w:val="20"/>
      <w:lang w:eastAsia="ru-RU"/>
    </w:rPr>
  </w:style>
  <w:style w:type="character" w:customStyle="1" w:styleId="mechtexChar">
    <w:name w:val="mechtex Char"/>
    <w:link w:val="mechtex"/>
    <w:rsid w:val="009545C3"/>
    <w:rPr>
      <w:rFonts w:ascii="Arial Armenian" w:eastAsia="Times New Roman" w:hAnsi="Arial Armenian" w:cs="Times New Roman"/>
      <w:szCs w:val="20"/>
      <w:lang w:eastAsia="ru-RU"/>
    </w:rPr>
  </w:style>
  <w:style w:type="paragraph" w:customStyle="1" w:styleId="Topic1">
    <w:name w:val="Topic_1"/>
    <w:basedOn w:val="ListParagraph"/>
    <w:qFormat/>
    <w:rsid w:val="00466D0E"/>
    <w:pPr>
      <w:numPr>
        <w:numId w:val="4"/>
      </w:numPr>
      <w:jc w:val="center"/>
    </w:pPr>
    <w:rPr>
      <w:rFonts w:cs="Arial"/>
      <w:b/>
      <w:sz w:val="24"/>
    </w:rPr>
  </w:style>
  <w:style w:type="paragraph" w:customStyle="1" w:styleId="Topic2">
    <w:name w:val="Topic_2"/>
    <w:basedOn w:val="Topic1"/>
    <w:qFormat/>
    <w:rsid w:val="00466D0E"/>
    <w:pPr>
      <w:numPr>
        <w:numId w:val="8"/>
      </w:numPr>
      <w:ind w:left="0" w:firstLine="0"/>
      <w:jc w:val="left"/>
    </w:pPr>
    <w:rPr>
      <w:sz w:val="22"/>
    </w:rPr>
  </w:style>
  <w:style w:type="paragraph" w:customStyle="1" w:styleId="Topic3">
    <w:name w:val="Topic_3"/>
    <w:basedOn w:val="Normal"/>
    <w:qFormat/>
    <w:rsid w:val="00466D0E"/>
    <w:rPr>
      <w:rFonts w:cs="Arial"/>
      <w:b/>
      <w:color w:val="000000" w:themeColor="text1"/>
    </w:rPr>
  </w:style>
  <w:style w:type="paragraph" w:customStyle="1" w:styleId="Appendix">
    <w:name w:val="Appendix"/>
    <w:basedOn w:val="Normal"/>
    <w:qFormat/>
    <w:rsid w:val="007A5BBD"/>
    <w:pPr>
      <w:jc w:val="center"/>
    </w:pPr>
    <w:rPr>
      <w:rFonts w:cs="Arial"/>
      <w:sz w:val="24"/>
      <w:u w:val="single"/>
    </w:rPr>
  </w:style>
  <w:style w:type="character" w:customStyle="1" w:styleId="Heading2Char">
    <w:name w:val="Heading 2 Char"/>
    <w:basedOn w:val="DefaultParagraphFont"/>
    <w:link w:val="Heading2"/>
    <w:uiPriority w:val="9"/>
    <w:rsid w:val="004D39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D3946"/>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D3946"/>
    <w:pPr>
      <w:spacing w:after="100"/>
      <w:ind w:left="220"/>
    </w:pPr>
  </w:style>
  <w:style w:type="paragraph" w:styleId="TOC3">
    <w:name w:val="toc 3"/>
    <w:basedOn w:val="Normal"/>
    <w:next w:val="Normal"/>
    <w:autoRedefine/>
    <w:uiPriority w:val="39"/>
    <w:unhideWhenUsed/>
    <w:rsid w:val="004D3946"/>
    <w:pPr>
      <w:spacing w:after="100"/>
      <w:ind w:left="440"/>
    </w:pPr>
  </w:style>
  <w:style w:type="paragraph" w:styleId="TableofFigures">
    <w:name w:val="table of figures"/>
    <w:basedOn w:val="Normal"/>
    <w:next w:val="Normal"/>
    <w:uiPriority w:val="99"/>
    <w:unhideWhenUsed/>
    <w:rsid w:val="00422915"/>
  </w:style>
  <w:style w:type="paragraph" w:styleId="TOCHeading">
    <w:name w:val="TOC Heading"/>
    <w:basedOn w:val="Heading1"/>
    <w:next w:val="Normal"/>
    <w:uiPriority w:val="39"/>
    <w:unhideWhenUsed/>
    <w:qFormat/>
    <w:rsid w:val="001900E3"/>
    <w:pPr>
      <w:keepNext/>
      <w:keepLines/>
      <w:pageBreakBefore w:val="0"/>
      <w:numPr>
        <w:numId w:val="0"/>
      </w:numPr>
      <w:tabs>
        <w:tab w:val="clear" w:pos="567"/>
        <w:tab w:val="clear" w:pos="3175"/>
        <w:tab w:val="clear" w:pos="4763"/>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Helvetica"/>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st Bullet" w:qFormat="1"/>
    <w:lsdException w:name="List 2" w:uiPriority="0" w:qFormat="1"/>
    <w:lsdException w:name="List 3"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6B"/>
  </w:style>
  <w:style w:type="paragraph" w:styleId="Heading1">
    <w:name w:val="heading 1"/>
    <w:basedOn w:val="Normal"/>
    <w:next w:val="Bodytext"/>
    <w:link w:val="Heading1Char"/>
    <w:uiPriority w:val="9"/>
    <w:qFormat/>
    <w:rsid w:val="00953E64"/>
    <w:pPr>
      <w:pageBreakBefore/>
      <w:numPr>
        <w:numId w:val="3"/>
      </w:numPr>
      <w:tabs>
        <w:tab w:val="left" w:pos="567"/>
        <w:tab w:val="left" w:pos="3175"/>
        <w:tab w:val="left" w:pos="4763"/>
      </w:tabs>
      <w:spacing w:after="240" w:line="240" w:lineRule="atLeast"/>
      <w:jc w:val="both"/>
      <w:outlineLvl w:val="0"/>
    </w:pPr>
    <w:rPr>
      <w:rFonts w:eastAsia="Times New Roman" w:cs="Times New Roman"/>
      <w:b/>
      <w:color w:val="C00000"/>
      <w:sz w:val="24"/>
      <w:szCs w:val="24"/>
      <w:lang w:val="en-GB" w:eastAsia="nl-NL"/>
    </w:rPr>
  </w:style>
  <w:style w:type="paragraph" w:styleId="Heading2">
    <w:name w:val="heading 2"/>
    <w:basedOn w:val="Normal"/>
    <w:next w:val="Normal"/>
    <w:link w:val="Heading2Char"/>
    <w:uiPriority w:val="9"/>
    <w:unhideWhenUsed/>
    <w:qFormat/>
    <w:rsid w:val="004D39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D394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lp1,Bullet paras,Main numbered paragraph,Bullets,List Paragraph Char Char Char,List Paragraph2,List Paragraph 1,NUMBERED PARAGRAPH,Akapit z listą BS,References,List Paragraph1,Bullet1"/>
    <w:basedOn w:val="Normal"/>
    <w:link w:val="ListParagraphChar"/>
    <w:uiPriority w:val="34"/>
    <w:qFormat/>
    <w:rsid w:val="00701226"/>
    <w:pPr>
      <w:ind w:left="720"/>
      <w:contextualSpacing/>
    </w:pPr>
  </w:style>
  <w:style w:type="paragraph" w:styleId="BalloonText">
    <w:name w:val="Balloon Text"/>
    <w:basedOn w:val="Normal"/>
    <w:link w:val="BalloonTextChar"/>
    <w:uiPriority w:val="99"/>
    <w:semiHidden/>
    <w:unhideWhenUsed/>
    <w:rsid w:val="000C6B03"/>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B03"/>
    <w:rPr>
      <w:rFonts w:ascii="Lucida Grande" w:hAnsi="Lucida Grande"/>
      <w:sz w:val="18"/>
      <w:szCs w:val="18"/>
    </w:rPr>
  </w:style>
  <w:style w:type="paragraph" w:styleId="TOC1">
    <w:name w:val="toc 1"/>
    <w:basedOn w:val="Normal"/>
    <w:next w:val="Normal"/>
    <w:autoRedefine/>
    <w:uiPriority w:val="39"/>
    <w:rsid w:val="0032254A"/>
    <w:pPr>
      <w:tabs>
        <w:tab w:val="left" w:pos="480"/>
        <w:tab w:val="right" w:leader="dot" w:pos="8647"/>
      </w:tabs>
      <w:spacing w:before="240"/>
    </w:pPr>
    <w:rPr>
      <w:rFonts w:ascii="Times New Roman" w:eastAsia="Times New Roman" w:hAnsi="Times New Roman" w:cs="Times New Roman"/>
      <w:szCs w:val="24"/>
      <w:lang w:eastAsia="en-US"/>
    </w:rPr>
  </w:style>
  <w:style w:type="character" w:styleId="Hyperlink">
    <w:name w:val="Hyperlink"/>
    <w:uiPriority w:val="99"/>
    <w:rsid w:val="0032254A"/>
    <w:rPr>
      <w:rFonts w:cs="Times New Roman"/>
      <w:color w:val="0000FF"/>
      <w:u w:val="single"/>
    </w:rPr>
  </w:style>
  <w:style w:type="paragraph" w:customStyle="1" w:styleId="ParagraphTextNormal">
    <w:name w:val="Paragraph Text Normal"/>
    <w:basedOn w:val="Normal"/>
    <w:uiPriority w:val="99"/>
    <w:rsid w:val="00634088"/>
    <w:pPr>
      <w:spacing w:before="240" w:after="240" w:line="280" w:lineRule="atLeast"/>
      <w:jc w:val="both"/>
    </w:pPr>
    <w:rPr>
      <w:rFonts w:ascii="Garamond" w:eastAsia="Times New Roman" w:hAnsi="Garamond" w:cs="Garamond"/>
      <w:sz w:val="24"/>
      <w:szCs w:val="24"/>
      <w:lang w:eastAsia="en-US"/>
    </w:rPr>
  </w:style>
  <w:style w:type="paragraph" w:customStyle="1" w:styleId="Default">
    <w:name w:val="Default"/>
    <w:rsid w:val="00634088"/>
    <w:pPr>
      <w:widowControl w:val="0"/>
      <w:autoSpaceDE w:val="0"/>
      <w:autoSpaceDN w:val="0"/>
      <w:adjustRightInd w:val="0"/>
    </w:pPr>
    <w:rPr>
      <w:rFonts w:cs="Arial"/>
      <w:color w:val="000000"/>
      <w:sz w:val="24"/>
      <w:szCs w:val="24"/>
    </w:rPr>
  </w:style>
  <w:style w:type="paragraph" w:customStyle="1" w:styleId="Bullet2">
    <w:name w:val="Bullet 2"/>
    <w:basedOn w:val="Normal"/>
    <w:link w:val="Bullet2Char"/>
    <w:qFormat/>
    <w:rsid w:val="00640306"/>
    <w:pPr>
      <w:numPr>
        <w:numId w:val="1"/>
      </w:numPr>
      <w:spacing w:before="60"/>
    </w:pPr>
    <w:rPr>
      <w:rFonts w:ascii="Times New Roman" w:eastAsia="SimSun" w:hAnsi="Times New Roman" w:cs="Times New Roman"/>
      <w:szCs w:val="24"/>
      <w:lang w:val="en-GB" w:eastAsia="zh-CN"/>
    </w:rPr>
  </w:style>
  <w:style w:type="character" w:customStyle="1" w:styleId="Bullet2Char">
    <w:name w:val="Bullet 2 Char"/>
    <w:link w:val="Bullet2"/>
    <w:locked/>
    <w:rsid w:val="00640306"/>
    <w:rPr>
      <w:rFonts w:ascii="Times New Roman" w:eastAsia="SimSun" w:hAnsi="Times New Roman" w:cs="Times New Roman"/>
      <w:szCs w:val="24"/>
      <w:lang w:val="en-GB" w:eastAsia="zh-CN"/>
    </w:rPr>
  </w:style>
  <w:style w:type="paragraph" w:styleId="Footer">
    <w:name w:val="footer"/>
    <w:basedOn w:val="Normal"/>
    <w:link w:val="FooterChar"/>
    <w:uiPriority w:val="99"/>
    <w:unhideWhenUsed/>
    <w:rsid w:val="004861B4"/>
    <w:pPr>
      <w:tabs>
        <w:tab w:val="center" w:pos="4320"/>
        <w:tab w:val="right" w:pos="8640"/>
      </w:tabs>
    </w:pPr>
  </w:style>
  <w:style w:type="character" w:customStyle="1" w:styleId="FooterChar">
    <w:name w:val="Footer Char"/>
    <w:basedOn w:val="DefaultParagraphFont"/>
    <w:link w:val="Footer"/>
    <w:uiPriority w:val="99"/>
    <w:rsid w:val="004861B4"/>
  </w:style>
  <w:style w:type="character" w:styleId="PageNumber">
    <w:name w:val="page number"/>
    <w:basedOn w:val="DefaultParagraphFont"/>
    <w:uiPriority w:val="99"/>
    <w:semiHidden/>
    <w:unhideWhenUsed/>
    <w:rsid w:val="004861B4"/>
  </w:style>
  <w:style w:type="paragraph" w:styleId="Caption">
    <w:name w:val="caption"/>
    <w:basedOn w:val="Normal"/>
    <w:next w:val="Normal"/>
    <w:qFormat/>
    <w:rsid w:val="00ED24FC"/>
    <w:pPr>
      <w:spacing w:after="120"/>
      <w:ind w:left="1021" w:hanging="1021"/>
    </w:pPr>
    <w:rPr>
      <w:rFonts w:ascii="Times New Roman" w:eastAsia="Times New Roman" w:hAnsi="Times New Roman" w:cs="Times New Roman"/>
      <w:b/>
      <w:bCs/>
      <w:u w:val="single"/>
      <w:lang w:eastAsia="en-US"/>
    </w:rPr>
  </w:style>
  <w:style w:type="paragraph" w:styleId="List2">
    <w:name w:val="List 2"/>
    <w:basedOn w:val="Normal"/>
    <w:qFormat/>
    <w:rsid w:val="00ED24FC"/>
    <w:pPr>
      <w:numPr>
        <w:ilvl w:val="1"/>
        <w:numId w:val="2"/>
      </w:numPr>
      <w:spacing w:before="240"/>
      <w:jc w:val="both"/>
    </w:pPr>
    <w:rPr>
      <w:rFonts w:ascii="Times New Roman" w:eastAsia="SimSun" w:hAnsi="Times New Roman" w:cs="Times New Roman"/>
      <w:szCs w:val="24"/>
      <w:lang w:eastAsia="zh-CN"/>
    </w:rPr>
  </w:style>
  <w:style w:type="paragraph" w:customStyle="1" w:styleId="List1">
    <w:name w:val="List 1"/>
    <w:basedOn w:val="Bullet2"/>
    <w:link w:val="List1Char"/>
    <w:qFormat/>
    <w:rsid w:val="00ED24FC"/>
    <w:pPr>
      <w:numPr>
        <w:numId w:val="2"/>
      </w:numPr>
      <w:spacing w:before="240"/>
      <w:jc w:val="both"/>
    </w:pPr>
  </w:style>
  <w:style w:type="paragraph" w:styleId="List3">
    <w:name w:val="List 3"/>
    <w:basedOn w:val="Normal"/>
    <w:qFormat/>
    <w:rsid w:val="00ED24FC"/>
    <w:pPr>
      <w:numPr>
        <w:ilvl w:val="2"/>
        <w:numId w:val="2"/>
      </w:numPr>
      <w:spacing w:before="120"/>
    </w:pPr>
    <w:rPr>
      <w:rFonts w:ascii="Times New Roman" w:eastAsia="Times New Roman" w:hAnsi="Times New Roman" w:cs="Times New Roman"/>
      <w:szCs w:val="24"/>
      <w:lang w:val="en-GB" w:eastAsia="en-US"/>
    </w:rPr>
  </w:style>
  <w:style w:type="character" w:customStyle="1" w:styleId="List1Char">
    <w:name w:val="List 1 Char"/>
    <w:basedOn w:val="Bullet2Char"/>
    <w:link w:val="List1"/>
    <w:locked/>
    <w:rsid w:val="00ED24FC"/>
    <w:rPr>
      <w:rFonts w:ascii="Times New Roman" w:eastAsia="SimSun" w:hAnsi="Times New Roman" w:cs="Times New Roman"/>
      <w:szCs w:val="24"/>
      <w:lang w:val="en-GB" w:eastAsia="zh-CN"/>
    </w:rPr>
  </w:style>
  <w:style w:type="character" w:styleId="CommentReference">
    <w:name w:val="annotation reference"/>
    <w:uiPriority w:val="99"/>
    <w:semiHidden/>
    <w:rsid w:val="007425CA"/>
    <w:rPr>
      <w:rFonts w:cs="Times New Roman"/>
      <w:sz w:val="16"/>
      <w:szCs w:val="16"/>
    </w:rPr>
  </w:style>
  <w:style w:type="paragraph" w:styleId="CommentText">
    <w:name w:val="annotation text"/>
    <w:basedOn w:val="Normal"/>
    <w:link w:val="CommentTextChar"/>
    <w:uiPriority w:val="99"/>
    <w:semiHidden/>
    <w:rsid w:val="007425CA"/>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7425CA"/>
    <w:rPr>
      <w:rFonts w:ascii="Times New Roman" w:eastAsia="Times New Roman" w:hAnsi="Times New Roman" w:cs="Times New Roman"/>
      <w:sz w:val="20"/>
      <w:szCs w:val="20"/>
      <w:lang w:val="en-GB" w:eastAsia="en-US"/>
    </w:rPr>
  </w:style>
  <w:style w:type="paragraph" w:styleId="FootnoteText">
    <w:name w:val="footnote text"/>
    <w:aliases w:val="ft,single space,Footnote Text Char Char Char Char Char Char Char Char Char Char,Footnote Text Char Char Char Char Char Char Char Char Char Char Char Char,Footnote Text2,ft2,FOOTNOTES,fn,ft Char Char Char,(NECG) Footnote Text,Fußnotentextf"/>
    <w:basedOn w:val="Normal"/>
    <w:link w:val="FootnoteTextChar"/>
    <w:uiPriority w:val="99"/>
    <w:unhideWhenUsed/>
    <w:qFormat/>
    <w:rsid w:val="008E030F"/>
    <w:rPr>
      <w:sz w:val="24"/>
      <w:szCs w:val="24"/>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OOTNOTES Char,fn Char"/>
    <w:basedOn w:val="DefaultParagraphFont"/>
    <w:link w:val="FootnoteText"/>
    <w:uiPriority w:val="99"/>
    <w:rsid w:val="008E030F"/>
    <w:rPr>
      <w:sz w:val="24"/>
      <w:szCs w:val="24"/>
    </w:rPr>
  </w:style>
  <w:style w:type="character" w:styleId="FootnoteReference">
    <w:name w:val="footnote reference"/>
    <w:aliases w:val="ftref,16 Point,Superscript 6 Point,(NECG) Footnote Reference,Ref,de nota al pie,fr,Footnote Ref in FtNote,BVI fnr,Fußnotenzeichen DISS,SUPERS,footnote ref,Char Char Char Char Car Char,Footnote Reference Number, BVI fnr,Footnote symbol"/>
    <w:basedOn w:val="DefaultParagraphFont"/>
    <w:uiPriority w:val="99"/>
    <w:unhideWhenUsed/>
    <w:rsid w:val="008E030F"/>
    <w:rPr>
      <w:vertAlign w:val="superscript"/>
    </w:rPr>
  </w:style>
  <w:style w:type="paragraph" w:styleId="Header">
    <w:name w:val="header"/>
    <w:basedOn w:val="Normal"/>
    <w:link w:val="HeaderChar"/>
    <w:uiPriority w:val="99"/>
    <w:unhideWhenUsed/>
    <w:rsid w:val="00FF373D"/>
    <w:pPr>
      <w:tabs>
        <w:tab w:val="center" w:pos="4320"/>
        <w:tab w:val="right" w:pos="8640"/>
      </w:tabs>
    </w:pPr>
  </w:style>
  <w:style w:type="character" w:customStyle="1" w:styleId="HeaderChar">
    <w:name w:val="Header Char"/>
    <w:basedOn w:val="DefaultParagraphFont"/>
    <w:link w:val="Header"/>
    <w:uiPriority w:val="99"/>
    <w:rsid w:val="00FF373D"/>
  </w:style>
  <w:style w:type="character" w:customStyle="1" w:styleId="Heading1Char">
    <w:name w:val="Heading 1 Char"/>
    <w:basedOn w:val="DefaultParagraphFont"/>
    <w:link w:val="Heading1"/>
    <w:uiPriority w:val="9"/>
    <w:rsid w:val="00953E64"/>
    <w:rPr>
      <w:rFonts w:eastAsia="Times New Roman" w:cs="Times New Roman"/>
      <w:b/>
      <w:color w:val="C00000"/>
      <w:sz w:val="24"/>
      <w:szCs w:val="24"/>
      <w:lang w:val="en-GB" w:eastAsia="nl-NL"/>
    </w:rPr>
  </w:style>
  <w:style w:type="paragraph" w:customStyle="1" w:styleId="Bodytext">
    <w:name w:val="Bodytext"/>
    <w:basedOn w:val="Normal"/>
    <w:rsid w:val="00953E64"/>
    <w:pPr>
      <w:spacing w:after="120" w:line="240" w:lineRule="atLeast"/>
      <w:jc w:val="both"/>
    </w:pPr>
    <w:rPr>
      <w:rFonts w:eastAsia="Times New Roman" w:cs="Times New Roman"/>
      <w:sz w:val="18"/>
      <w:szCs w:val="18"/>
      <w:lang w:val="en-GB" w:eastAsia="nl-NL"/>
    </w:rPr>
  </w:style>
  <w:style w:type="paragraph" w:styleId="NoSpacing">
    <w:name w:val="No Spacing"/>
    <w:link w:val="NoSpacingChar"/>
    <w:uiPriority w:val="1"/>
    <w:qFormat/>
    <w:rsid w:val="00F20100"/>
    <w:rPr>
      <w:rFonts w:asciiTheme="minorHAnsi" w:hAnsiTheme="minorHAnsi" w:cstheme="minorBidi"/>
      <w:lang w:eastAsia="en-US"/>
    </w:rPr>
  </w:style>
  <w:style w:type="table" w:styleId="TableGrid">
    <w:name w:val="Table Grid"/>
    <w:basedOn w:val="TableNormal"/>
    <w:uiPriority w:val="39"/>
    <w:rsid w:val="00437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2E5F"/>
    <w:pPr>
      <w:spacing w:before="100" w:beforeAutospacing="1" w:after="100" w:afterAutospacing="1"/>
    </w:pPr>
    <w:rPr>
      <w:rFonts w:ascii="Times New Roman" w:hAnsi="Times New Roman" w:cs="Times New Roman"/>
      <w:sz w:val="24"/>
      <w:szCs w:val="24"/>
      <w:lang w:eastAsia="en-US"/>
    </w:rPr>
  </w:style>
  <w:style w:type="paragraph" w:customStyle="1" w:styleId="ParagraphNumbering">
    <w:name w:val="Paragraph Numbering"/>
    <w:basedOn w:val="Normal"/>
    <w:link w:val="ParagraphNumberingChar"/>
    <w:qFormat/>
    <w:rsid w:val="00CE3F2C"/>
    <w:pPr>
      <w:numPr>
        <w:numId w:val="5"/>
      </w:numPr>
      <w:spacing w:after="240" w:line="264" w:lineRule="auto"/>
    </w:pPr>
    <w:rPr>
      <w:rFonts w:ascii="Times New Roman" w:eastAsia="SimSun" w:hAnsi="Times New Roman" w:cs="Times New Roman"/>
      <w:sz w:val="24"/>
      <w:szCs w:val="24"/>
      <w:lang w:eastAsia="en-US"/>
    </w:rPr>
  </w:style>
  <w:style w:type="character" w:customStyle="1" w:styleId="ParagraphNumberingChar">
    <w:name w:val="Paragraph Numbering Char"/>
    <w:basedOn w:val="DefaultParagraphFont"/>
    <w:link w:val="ParagraphNumbering"/>
    <w:locked/>
    <w:rsid w:val="00CE3F2C"/>
    <w:rPr>
      <w:rFonts w:ascii="Times New Roman" w:eastAsia="SimSun" w:hAnsi="Times New Roman" w:cs="Times New Roman"/>
      <w:sz w:val="24"/>
      <w:szCs w:val="24"/>
      <w:lang w:eastAsia="en-US"/>
    </w:rPr>
  </w:style>
  <w:style w:type="paragraph" w:customStyle="1" w:styleId="Bulletstab">
    <w:name w:val="Bullets tab"/>
    <w:basedOn w:val="Normal"/>
    <w:uiPriority w:val="99"/>
    <w:rsid w:val="00C70B42"/>
    <w:pPr>
      <w:widowControl w:val="0"/>
      <w:numPr>
        <w:ilvl w:val="1"/>
        <w:numId w:val="6"/>
      </w:numPr>
      <w:spacing w:after="120"/>
      <w:jc w:val="both"/>
    </w:pPr>
    <w:rPr>
      <w:rFonts w:eastAsia="Times New Roman" w:cs="Arial"/>
      <w:bCs/>
      <w:lang w:eastAsia="en-US"/>
    </w:rPr>
  </w:style>
  <w:style w:type="paragraph" w:styleId="ListBullet">
    <w:name w:val="List Bullet"/>
    <w:basedOn w:val="Normal"/>
    <w:uiPriority w:val="99"/>
    <w:qFormat/>
    <w:rsid w:val="00BF58FC"/>
    <w:pPr>
      <w:numPr>
        <w:numId w:val="7"/>
      </w:numPr>
      <w:spacing w:after="240" w:line="264" w:lineRule="auto"/>
    </w:pPr>
    <w:rPr>
      <w:rFonts w:ascii="Times New Roman" w:eastAsia="Times New Roman" w:hAnsi="Times New Roman" w:cs="Times New Roman"/>
      <w:sz w:val="24"/>
      <w:szCs w:val="24"/>
      <w:lang w:eastAsia="en-US"/>
    </w:rPr>
  </w:style>
  <w:style w:type="character" w:customStyle="1" w:styleId="ListParagraphChar">
    <w:name w:val="List Paragraph Char"/>
    <w:aliases w:val="List Paragraph (numbered (a)) Char,Use Case List Paragraph Char,lp1 Char,Bullet paras Char,Main numbered paragraph Char,Bullets Char,List Paragraph Char Char Char Char,List Paragraph2 Char,List Paragraph 1 Char,Akapit z listą BS Char"/>
    <w:basedOn w:val="DefaultParagraphFont"/>
    <w:link w:val="ListParagraph"/>
    <w:uiPriority w:val="34"/>
    <w:rsid w:val="00D038A0"/>
  </w:style>
  <w:style w:type="character" w:customStyle="1" w:styleId="apple-converted-space">
    <w:name w:val="apple-converted-space"/>
    <w:basedOn w:val="DefaultParagraphFont"/>
    <w:rsid w:val="002279ED"/>
  </w:style>
  <w:style w:type="character" w:styleId="Strong">
    <w:name w:val="Strong"/>
    <w:basedOn w:val="DefaultParagraphFont"/>
    <w:uiPriority w:val="22"/>
    <w:qFormat/>
    <w:rsid w:val="002279ED"/>
    <w:rPr>
      <w:b/>
      <w:bCs/>
    </w:rPr>
  </w:style>
  <w:style w:type="character" w:customStyle="1" w:styleId="NoSpacingChar">
    <w:name w:val="No Spacing Char"/>
    <w:basedOn w:val="DefaultParagraphFont"/>
    <w:link w:val="NoSpacing"/>
    <w:uiPriority w:val="1"/>
    <w:rsid w:val="00716950"/>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545C3"/>
    <w:rPr>
      <w:rFonts w:ascii="Arial" w:eastAsiaTheme="minorEastAsia" w:hAnsi="Arial" w:cs="Helvetica"/>
      <w:b/>
      <w:bCs/>
      <w:lang w:val="en-US" w:eastAsia="ja-JP"/>
    </w:rPr>
  </w:style>
  <w:style w:type="character" w:customStyle="1" w:styleId="CommentSubjectChar">
    <w:name w:val="Comment Subject Char"/>
    <w:basedOn w:val="CommentTextChar"/>
    <w:link w:val="CommentSubject"/>
    <w:uiPriority w:val="99"/>
    <w:semiHidden/>
    <w:rsid w:val="009545C3"/>
    <w:rPr>
      <w:rFonts w:ascii="Times New Roman" w:eastAsia="Times New Roman" w:hAnsi="Times New Roman" w:cs="Times New Roman"/>
      <w:b/>
      <w:bCs/>
      <w:sz w:val="20"/>
      <w:szCs w:val="20"/>
      <w:lang w:val="en-GB" w:eastAsia="en-US"/>
    </w:rPr>
  </w:style>
  <w:style w:type="paragraph" w:styleId="BodyText0">
    <w:name w:val="Body Text"/>
    <w:basedOn w:val="Normal"/>
    <w:link w:val="BodyTextChar"/>
    <w:rsid w:val="009545C3"/>
    <w:pPr>
      <w:suppressAutoHyphens/>
      <w:jc w:val="both"/>
    </w:pPr>
    <w:rPr>
      <w:rFonts w:eastAsia="Times New Roman" w:cs="Times New Roman"/>
      <w:i/>
      <w:szCs w:val="20"/>
      <w:lang w:val="en-GB" w:eastAsia="ar-SA"/>
    </w:rPr>
  </w:style>
  <w:style w:type="character" w:customStyle="1" w:styleId="BodyTextChar">
    <w:name w:val="Body Text Char"/>
    <w:basedOn w:val="DefaultParagraphFont"/>
    <w:link w:val="BodyText0"/>
    <w:rsid w:val="009545C3"/>
    <w:rPr>
      <w:rFonts w:eastAsia="Times New Roman" w:cs="Times New Roman"/>
      <w:i/>
      <w:szCs w:val="20"/>
      <w:lang w:val="en-GB" w:eastAsia="ar-SA"/>
    </w:rPr>
  </w:style>
  <w:style w:type="paragraph" w:customStyle="1" w:styleId="mechtex">
    <w:name w:val="mechtex"/>
    <w:basedOn w:val="Normal"/>
    <w:link w:val="mechtexChar"/>
    <w:rsid w:val="009545C3"/>
    <w:pPr>
      <w:jc w:val="center"/>
    </w:pPr>
    <w:rPr>
      <w:rFonts w:ascii="Arial Armenian" w:eastAsia="Times New Roman" w:hAnsi="Arial Armenian" w:cs="Times New Roman"/>
      <w:szCs w:val="20"/>
      <w:lang w:eastAsia="ru-RU"/>
    </w:rPr>
  </w:style>
  <w:style w:type="character" w:customStyle="1" w:styleId="mechtexChar">
    <w:name w:val="mechtex Char"/>
    <w:link w:val="mechtex"/>
    <w:rsid w:val="009545C3"/>
    <w:rPr>
      <w:rFonts w:ascii="Arial Armenian" w:eastAsia="Times New Roman" w:hAnsi="Arial Armenian" w:cs="Times New Roman"/>
      <w:szCs w:val="20"/>
      <w:lang w:eastAsia="ru-RU"/>
    </w:rPr>
  </w:style>
  <w:style w:type="paragraph" w:customStyle="1" w:styleId="Topic1">
    <w:name w:val="Topic_1"/>
    <w:basedOn w:val="ListParagraph"/>
    <w:qFormat/>
    <w:rsid w:val="00466D0E"/>
    <w:pPr>
      <w:numPr>
        <w:numId w:val="4"/>
      </w:numPr>
      <w:jc w:val="center"/>
    </w:pPr>
    <w:rPr>
      <w:rFonts w:cs="Arial"/>
      <w:b/>
      <w:sz w:val="24"/>
    </w:rPr>
  </w:style>
  <w:style w:type="paragraph" w:customStyle="1" w:styleId="Topic2">
    <w:name w:val="Topic_2"/>
    <w:basedOn w:val="Topic1"/>
    <w:qFormat/>
    <w:rsid w:val="00466D0E"/>
    <w:pPr>
      <w:numPr>
        <w:numId w:val="8"/>
      </w:numPr>
      <w:ind w:left="0" w:firstLine="0"/>
      <w:jc w:val="left"/>
    </w:pPr>
    <w:rPr>
      <w:sz w:val="22"/>
    </w:rPr>
  </w:style>
  <w:style w:type="paragraph" w:customStyle="1" w:styleId="Topic3">
    <w:name w:val="Topic_3"/>
    <w:basedOn w:val="Normal"/>
    <w:qFormat/>
    <w:rsid w:val="00466D0E"/>
    <w:rPr>
      <w:rFonts w:cs="Arial"/>
      <w:b/>
      <w:color w:val="000000" w:themeColor="text1"/>
    </w:rPr>
  </w:style>
  <w:style w:type="paragraph" w:customStyle="1" w:styleId="Appendix">
    <w:name w:val="Appendix"/>
    <w:basedOn w:val="Normal"/>
    <w:qFormat/>
    <w:rsid w:val="007A5BBD"/>
    <w:pPr>
      <w:jc w:val="center"/>
    </w:pPr>
    <w:rPr>
      <w:rFonts w:cs="Arial"/>
      <w:sz w:val="24"/>
      <w:u w:val="single"/>
    </w:rPr>
  </w:style>
  <w:style w:type="character" w:customStyle="1" w:styleId="Heading2Char">
    <w:name w:val="Heading 2 Char"/>
    <w:basedOn w:val="DefaultParagraphFont"/>
    <w:link w:val="Heading2"/>
    <w:uiPriority w:val="9"/>
    <w:rsid w:val="004D39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D3946"/>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D3946"/>
    <w:pPr>
      <w:spacing w:after="100"/>
      <w:ind w:left="220"/>
    </w:pPr>
  </w:style>
  <w:style w:type="paragraph" w:styleId="TOC3">
    <w:name w:val="toc 3"/>
    <w:basedOn w:val="Normal"/>
    <w:next w:val="Normal"/>
    <w:autoRedefine/>
    <w:uiPriority w:val="39"/>
    <w:unhideWhenUsed/>
    <w:rsid w:val="004D3946"/>
    <w:pPr>
      <w:spacing w:after="100"/>
      <w:ind w:left="440"/>
    </w:pPr>
  </w:style>
  <w:style w:type="paragraph" w:styleId="TableofFigures">
    <w:name w:val="table of figures"/>
    <w:basedOn w:val="Normal"/>
    <w:next w:val="Normal"/>
    <w:uiPriority w:val="99"/>
    <w:unhideWhenUsed/>
    <w:rsid w:val="00422915"/>
  </w:style>
  <w:style w:type="paragraph" w:styleId="TOCHeading">
    <w:name w:val="TOC Heading"/>
    <w:basedOn w:val="Heading1"/>
    <w:next w:val="Normal"/>
    <w:uiPriority w:val="39"/>
    <w:unhideWhenUsed/>
    <w:qFormat/>
    <w:rsid w:val="001900E3"/>
    <w:pPr>
      <w:keepNext/>
      <w:keepLines/>
      <w:pageBreakBefore w:val="0"/>
      <w:numPr>
        <w:numId w:val="0"/>
      </w:numPr>
      <w:tabs>
        <w:tab w:val="clear" w:pos="567"/>
        <w:tab w:val="clear" w:pos="3175"/>
        <w:tab w:val="clear" w:pos="4763"/>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143">
      <w:bodyDiv w:val="1"/>
      <w:marLeft w:val="0"/>
      <w:marRight w:val="0"/>
      <w:marTop w:val="0"/>
      <w:marBottom w:val="0"/>
      <w:divBdr>
        <w:top w:val="none" w:sz="0" w:space="0" w:color="auto"/>
        <w:left w:val="none" w:sz="0" w:space="0" w:color="auto"/>
        <w:bottom w:val="none" w:sz="0" w:space="0" w:color="auto"/>
        <w:right w:val="none" w:sz="0" w:space="0" w:color="auto"/>
      </w:divBdr>
    </w:div>
    <w:div w:id="137496675">
      <w:bodyDiv w:val="1"/>
      <w:marLeft w:val="0"/>
      <w:marRight w:val="0"/>
      <w:marTop w:val="0"/>
      <w:marBottom w:val="0"/>
      <w:divBdr>
        <w:top w:val="none" w:sz="0" w:space="0" w:color="auto"/>
        <w:left w:val="none" w:sz="0" w:space="0" w:color="auto"/>
        <w:bottom w:val="none" w:sz="0" w:space="0" w:color="auto"/>
        <w:right w:val="none" w:sz="0" w:space="0" w:color="auto"/>
      </w:divBdr>
    </w:div>
    <w:div w:id="170725759">
      <w:bodyDiv w:val="1"/>
      <w:marLeft w:val="0"/>
      <w:marRight w:val="0"/>
      <w:marTop w:val="0"/>
      <w:marBottom w:val="0"/>
      <w:divBdr>
        <w:top w:val="none" w:sz="0" w:space="0" w:color="auto"/>
        <w:left w:val="none" w:sz="0" w:space="0" w:color="auto"/>
        <w:bottom w:val="none" w:sz="0" w:space="0" w:color="auto"/>
        <w:right w:val="none" w:sz="0" w:space="0" w:color="auto"/>
      </w:divBdr>
      <w:divsChild>
        <w:div w:id="842013758">
          <w:marLeft w:val="0"/>
          <w:marRight w:val="0"/>
          <w:marTop w:val="0"/>
          <w:marBottom w:val="0"/>
          <w:divBdr>
            <w:top w:val="none" w:sz="0" w:space="0" w:color="auto"/>
            <w:left w:val="none" w:sz="0" w:space="0" w:color="auto"/>
            <w:bottom w:val="none" w:sz="0" w:space="0" w:color="auto"/>
            <w:right w:val="none" w:sz="0" w:space="0" w:color="auto"/>
          </w:divBdr>
          <w:divsChild>
            <w:div w:id="297033185">
              <w:marLeft w:val="0"/>
              <w:marRight w:val="0"/>
              <w:marTop w:val="0"/>
              <w:marBottom w:val="0"/>
              <w:divBdr>
                <w:top w:val="none" w:sz="0" w:space="0" w:color="auto"/>
                <w:left w:val="none" w:sz="0" w:space="0" w:color="auto"/>
                <w:bottom w:val="none" w:sz="0" w:space="0" w:color="auto"/>
                <w:right w:val="none" w:sz="0" w:space="0" w:color="auto"/>
              </w:divBdr>
              <w:divsChild>
                <w:div w:id="483662587">
                  <w:marLeft w:val="0"/>
                  <w:marRight w:val="0"/>
                  <w:marTop w:val="0"/>
                  <w:marBottom w:val="0"/>
                  <w:divBdr>
                    <w:top w:val="none" w:sz="0" w:space="0" w:color="auto"/>
                    <w:left w:val="none" w:sz="0" w:space="0" w:color="auto"/>
                    <w:bottom w:val="none" w:sz="0" w:space="0" w:color="auto"/>
                    <w:right w:val="none" w:sz="0" w:space="0" w:color="auto"/>
                  </w:divBdr>
                  <w:divsChild>
                    <w:div w:id="3339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223">
      <w:bodyDiv w:val="1"/>
      <w:marLeft w:val="0"/>
      <w:marRight w:val="0"/>
      <w:marTop w:val="0"/>
      <w:marBottom w:val="0"/>
      <w:divBdr>
        <w:top w:val="none" w:sz="0" w:space="0" w:color="auto"/>
        <w:left w:val="none" w:sz="0" w:space="0" w:color="auto"/>
        <w:bottom w:val="none" w:sz="0" w:space="0" w:color="auto"/>
        <w:right w:val="none" w:sz="0" w:space="0" w:color="auto"/>
      </w:divBdr>
    </w:div>
    <w:div w:id="210272127">
      <w:bodyDiv w:val="1"/>
      <w:marLeft w:val="0"/>
      <w:marRight w:val="0"/>
      <w:marTop w:val="0"/>
      <w:marBottom w:val="0"/>
      <w:divBdr>
        <w:top w:val="none" w:sz="0" w:space="0" w:color="auto"/>
        <w:left w:val="none" w:sz="0" w:space="0" w:color="auto"/>
        <w:bottom w:val="none" w:sz="0" w:space="0" w:color="auto"/>
        <w:right w:val="none" w:sz="0" w:space="0" w:color="auto"/>
      </w:divBdr>
    </w:div>
    <w:div w:id="343829629">
      <w:bodyDiv w:val="1"/>
      <w:marLeft w:val="0"/>
      <w:marRight w:val="0"/>
      <w:marTop w:val="0"/>
      <w:marBottom w:val="0"/>
      <w:divBdr>
        <w:top w:val="none" w:sz="0" w:space="0" w:color="auto"/>
        <w:left w:val="none" w:sz="0" w:space="0" w:color="auto"/>
        <w:bottom w:val="none" w:sz="0" w:space="0" w:color="auto"/>
        <w:right w:val="none" w:sz="0" w:space="0" w:color="auto"/>
      </w:divBdr>
    </w:div>
    <w:div w:id="406726937">
      <w:bodyDiv w:val="1"/>
      <w:marLeft w:val="0"/>
      <w:marRight w:val="0"/>
      <w:marTop w:val="0"/>
      <w:marBottom w:val="0"/>
      <w:divBdr>
        <w:top w:val="none" w:sz="0" w:space="0" w:color="auto"/>
        <w:left w:val="none" w:sz="0" w:space="0" w:color="auto"/>
        <w:bottom w:val="none" w:sz="0" w:space="0" w:color="auto"/>
        <w:right w:val="none" w:sz="0" w:space="0" w:color="auto"/>
      </w:divBdr>
    </w:div>
    <w:div w:id="993874281">
      <w:bodyDiv w:val="1"/>
      <w:marLeft w:val="0"/>
      <w:marRight w:val="0"/>
      <w:marTop w:val="0"/>
      <w:marBottom w:val="0"/>
      <w:divBdr>
        <w:top w:val="none" w:sz="0" w:space="0" w:color="auto"/>
        <w:left w:val="none" w:sz="0" w:space="0" w:color="auto"/>
        <w:bottom w:val="none" w:sz="0" w:space="0" w:color="auto"/>
        <w:right w:val="none" w:sz="0" w:space="0" w:color="auto"/>
      </w:divBdr>
      <w:divsChild>
        <w:div w:id="951088834">
          <w:marLeft w:val="547"/>
          <w:marRight w:val="0"/>
          <w:marTop w:val="86"/>
          <w:marBottom w:val="0"/>
          <w:divBdr>
            <w:top w:val="none" w:sz="0" w:space="0" w:color="auto"/>
            <w:left w:val="none" w:sz="0" w:space="0" w:color="auto"/>
            <w:bottom w:val="none" w:sz="0" w:space="0" w:color="auto"/>
            <w:right w:val="none" w:sz="0" w:space="0" w:color="auto"/>
          </w:divBdr>
        </w:div>
        <w:div w:id="1236210794">
          <w:marLeft w:val="547"/>
          <w:marRight w:val="0"/>
          <w:marTop w:val="86"/>
          <w:marBottom w:val="0"/>
          <w:divBdr>
            <w:top w:val="none" w:sz="0" w:space="0" w:color="auto"/>
            <w:left w:val="none" w:sz="0" w:space="0" w:color="auto"/>
            <w:bottom w:val="none" w:sz="0" w:space="0" w:color="auto"/>
            <w:right w:val="none" w:sz="0" w:space="0" w:color="auto"/>
          </w:divBdr>
        </w:div>
      </w:divsChild>
    </w:div>
    <w:div w:id="1101561013">
      <w:bodyDiv w:val="1"/>
      <w:marLeft w:val="0"/>
      <w:marRight w:val="0"/>
      <w:marTop w:val="0"/>
      <w:marBottom w:val="0"/>
      <w:divBdr>
        <w:top w:val="none" w:sz="0" w:space="0" w:color="auto"/>
        <w:left w:val="none" w:sz="0" w:space="0" w:color="auto"/>
        <w:bottom w:val="none" w:sz="0" w:space="0" w:color="auto"/>
        <w:right w:val="none" w:sz="0" w:space="0" w:color="auto"/>
      </w:divBdr>
    </w:div>
    <w:div w:id="1152407629">
      <w:bodyDiv w:val="1"/>
      <w:marLeft w:val="0"/>
      <w:marRight w:val="0"/>
      <w:marTop w:val="0"/>
      <w:marBottom w:val="0"/>
      <w:divBdr>
        <w:top w:val="none" w:sz="0" w:space="0" w:color="auto"/>
        <w:left w:val="none" w:sz="0" w:space="0" w:color="auto"/>
        <w:bottom w:val="none" w:sz="0" w:space="0" w:color="auto"/>
        <w:right w:val="none" w:sz="0" w:space="0" w:color="auto"/>
      </w:divBdr>
    </w:div>
    <w:div w:id="1236092152">
      <w:bodyDiv w:val="1"/>
      <w:marLeft w:val="0"/>
      <w:marRight w:val="0"/>
      <w:marTop w:val="0"/>
      <w:marBottom w:val="0"/>
      <w:divBdr>
        <w:top w:val="none" w:sz="0" w:space="0" w:color="auto"/>
        <w:left w:val="none" w:sz="0" w:space="0" w:color="auto"/>
        <w:bottom w:val="none" w:sz="0" w:space="0" w:color="auto"/>
        <w:right w:val="none" w:sz="0" w:space="0" w:color="auto"/>
      </w:divBdr>
    </w:div>
    <w:div w:id="1335647853">
      <w:bodyDiv w:val="1"/>
      <w:marLeft w:val="0"/>
      <w:marRight w:val="0"/>
      <w:marTop w:val="0"/>
      <w:marBottom w:val="0"/>
      <w:divBdr>
        <w:top w:val="none" w:sz="0" w:space="0" w:color="auto"/>
        <w:left w:val="none" w:sz="0" w:space="0" w:color="auto"/>
        <w:bottom w:val="none" w:sz="0" w:space="0" w:color="auto"/>
        <w:right w:val="none" w:sz="0" w:space="0" w:color="auto"/>
      </w:divBdr>
    </w:div>
    <w:div w:id="1385909093">
      <w:bodyDiv w:val="1"/>
      <w:marLeft w:val="0"/>
      <w:marRight w:val="0"/>
      <w:marTop w:val="0"/>
      <w:marBottom w:val="0"/>
      <w:divBdr>
        <w:top w:val="none" w:sz="0" w:space="0" w:color="auto"/>
        <w:left w:val="none" w:sz="0" w:space="0" w:color="auto"/>
        <w:bottom w:val="none" w:sz="0" w:space="0" w:color="auto"/>
        <w:right w:val="none" w:sz="0" w:space="0" w:color="auto"/>
      </w:divBdr>
    </w:div>
    <w:div w:id="1406880772">
      <w:bodyDiv w:val="1"/>
      <w:marLeft w:val="0"/>
      <w:marRight w:val="0"/>
      <w:marTop w:val="0"/>
      <w:marBottom w:val="0"/>
      <w:divBdr>
        <w:top w:val="none" w:sz="0" w:space="0" w:color="auto"/>
        <w:left w:val="none" w:sz="0" w:space="0" w:color="auto"/>
        <w:bottom w:val="none" w:sz="0" w:space="0" w:color="auto"/>
        <w:right w:val="none" w:sz="0" w:space="0" w:color="auto"/>
      </w:divBdr>
    </w:div>
    <w:div w:id="1566332285">
      <w:bodyDiv w:val="1"/>
      <w:marLeft w:val="0"/>
      <w:marRight w:val="0"/>
      <w:marTop w:val="0"/>
      <w:marBottom w:val="0"/>
      <w:divBdr>
        <w:top w:val="none" w:sz="0" w:space="0" w:color="auto"/>
        <w:left w:val="none" w:sz="0" w:space="0" w:color="auto"/>
        <w:bottom w:val="none" w:sz="0" w:space="0" w:color="auto"/>
        <w:right w:val="none" w:sz="0" w:space="0" w:color="auto"/>
      </w:divBdr>
    </w:div>
    <w:div w:id="1714888678">
      <w:bodyDiv w:val="1"/>
      <w:marLeft w:val="0"/>
      <w:marRight w:val="0"/>
      <w:marTop w:val="0"/>
      <w:marBottom w:val="0"/>
      <w:divBdr>
        <w:top w:val="none" w:sz="0" w:space="0" w:color="auto"/>
        <w:left w:val="none" w:sz="0" w:space="0" w:color="auto"/>
        <w:bottom w:val="none" w:sz="0" w:space="0" w:color="auto"/>
        <w:right w:val="none" w:sz="0" w:space="0" w:color="auto"/>
      </w:divBdr>
    </w:div>
    <w:div w:id="1796941693">
      <w:bodyDiv w:val="1"/>
      <w:marLeft w:val="0"/>
      <w:marRight w:val="0"/>
      <w:marTop w:val="0"/>
      <w:marBottom w:val="0"/>
      <w:divBdr>
        <w:top w:val="none" w:sz="0" w:space="0" w:color="auto"/>
        <w:left w:val="none" w:sz="0" w:space="0" w:color="auto"/>
        <w:bottom w:val="none" w:sz="0" w:space="0" w:color="auto"/>
        <w:right w:val="none" w:sz="0" w:space="0" w:color="auto"/>
      </w:divBdr>
    </w:div>
    <w:div w:id="1849909849">
      <w:bodyDiv w:val="1"/>
      <w:marLeft w:val="0"/>
      <w:marRight w:val="0"/>
      <w:marTop w:val="0"/>
      <w:marBottom w:val="0"/>
      <w:divBdr>
        <w:top w:val="none" w:sz="0" w:space="0" w:color="auto"/>
        <w:left w:val="none" w:sz="0" w:space="0" w:color="auto"/>
        <w:bottom w:val="none" w:sz="0" w:space="0" w:color="auto"/>
        <w:right w:val="none" w:sz="0" w:space="0" w:color="auto"/>
      </w:divBdr>
    </w:div>
    <w:div w:id="190009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5EE26D1EBACC44B95F32A7D2CFD290"/>
        <w:category>
          <w:name w:val="General"/>
          <w:gallery w:val="placeholder"/>
        </w:category>
        <w:types>
          <w:type w:val="bbPlcHdr"/>
        </w:types>
        <w:behaviors>
          <w:behavior w:val="content"/>
        </w:behaviors>
        <w:guid w:val="{07527325-AD7F-794E-AA67-AE39074E2452}"/>
      </w:docPartPr>
      <w:docPartBody>
        <w:p w:rsidR="00B743E4" w:rsidRDefault="00045B5F" w:rsidP="00045B5F">
          <w:pPr>
            <w:pStyle w:val="CD5EE26D1EBACC44B95F32A7D2CFD290"/>
          </w:pPr>
          <w:r>
            <w:t>[Type text]</w:t>
          </w:r>
        </w:p>
      </w:docPartBody>
    </w:docPart>
    <w:docPart>
      <w:docPartPr>
        <w:name w:val="A38F1BD93F30A24B9099E78FBDD6E6E6"/>
        <w:category>
          <w:name w:val="General"/>
          <w:gallery w:val="placeholder"/>
        </w:category>
        <w:types>
          <w:type w:val="bbPlcHdr"/>
        </w:types>
        <w:behaviors>
          <w:behavior w:val="content"/>
        </w:behaviors>
        <w:guid w:val="{987EB92F-B1FD-A445-AD13-03ACBE100CD7}"/>
      </w:docPartPr>
      <w:docPartBody>
        <w:p w:rsidR="00B743E4" w:rsidRDefault="00045B5F" w:rsidP="00045B5F">
          <w:pPr>
            <w:pStyle w:val="A38F1BD93F30A24B9099E78FBDD6E6E6"/>
          </w:pPr>
          <w:r>
            <w:t>[Type text]</w:t>
          </w:r>
        </w:p>
      </w:docPartBody>
    </w:docPart>
    <w:docPart>
      <w:docPartPr>
        <w:name w:val="9ABCFA5F3895C240990767A0E816E62C"/>
        <w:category>
          <w:name w:val="General"/>
          <w:gallery w:val="placeholder"/>
        </w:category>
        <w:types>
          <w:type w:val="bbPlcHdr"/>
        </w:types>
        <w:behaviors>
          <w:behavior w:val="content"/>
        </w:behaviors>
        <w:guid w:val="{9E8B2BFD-D6A7-2443-8167-850215933E9B}"/>
      </w:docPartPr>
      <w:docPartBody>
        <w:p w:rsidR="00B743E4" w:rsidRDefault="00045B5F" w:rsidP="00045B5F">
          <w:pPr>
            <w:pStyle w:val="9ABCFA5F3895C240990767A0E816E6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libr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5F"/>
    <w:rsid w:val="00003D36"/>
    <w:rsid w:val="000316D8"/>
    <w:rsid w:val="00045666"/>
    <w:rsid w:val="00045B5F"/>
    <w:rsid w:val="00045B6B"/>
    <w:rsid w:val="000468DC"/>
    <w:rsid w:val="00071B61"/>
    <w:rsid w:val="00084BF6"/>
    <w:rsid w:val="00085A35"/>
    <w:rsid w:val="000863C1"/>
    <w:rsid w:val="000A1AC1"/>
    <w:rsid w:val="000A475E"/>
    <w:rsid w:val="000B04BF"/>
    <w:rsid w:val="000C0316"/>
    <w:rsid w:val="000C1156"/>
    <w:rsid w:val="000D30D8"/>
    <w:rsid w:val="000D6E3C"/>
    <w:rsid w:val="000E316B"/>
    <w:rsid w:val="000F3668"/>
    <w:rsid w:val="000F6A63"/>
    <w:rsid w:val="001016F0"/>
    <w:rsid w:val="001047D0"/>
    <w:rsid w:val="001221F9"/>
    <w:rsid w:val="00124FBA"/>
    <w:rsid w:val="00164018"/>
    <w:rsid w:val="00166F42"/>
    <w:rsid w:val="0017732D"/>
    <w:rsid w:val="0018695F"/>
    <w:rsid w:val="001A7F33"/>
    <w:rsid w:val="001B0E5D"/>
    <w:rsid w:val="001E30F7"/>
    <w:rsid w:val="001E4540"/>
    <w:rsid w:val="00202865"/>
    <w:rsid w:val="00217621"/>
    <w:rsid w:val="00226CA8"/>
    <w:rsid w:val="00237D4E"/>
    <w:rsid w:val="00252848"/>
    <w:rsid w:val="0025688D"/>
    <w:rsid w:val="0025768F"/>
    <w:rsid w:val="002A24FE"/>
    <w:rsid w:val="002A395F"/>
    <w:rsid w:val="002B0A5C"/>
    <w:rsid w:val="002B2EAF"/>
    <w:rsid w:val="002C2F7D"/>
    <w:rsid w:val="002D2EE7"/>
    <w:rsid w:val="002E51B1"/>
    <w:rsid w:val="002F30EB"/>
    <w:rsid w:val="00302F87"/>
    <w:rsid w:val="00303C59"/>
    <w:rsid w:val="00306F08"/>
    <w:rsid w:val="0031053E"/>
    <w:rsid w:val="00310EF5"/>
    <w:rsid w:val="0031774A"/>
    <w:rsid w:val="00327075"/>
    <w:rsid w:val="00331088"/>
    <w:rsid w:val="00355F61"/>
    <w:rsid w:val="003600AE"/>
    <w:rsid w:val="0036502A"/>
    <w:rsid w:val="003861F7"/>
    <w:rsid w:val="003920FE"/>
    <w:rsid w:val="003D331E"/>
    <w:rsid w:val="003D7D1C"/>
    <w:rsid w:val="003F5C48"/>
    <w:rsid w:val="004016CC"/>
    <w:rsid w:val="00414B02"/>
    <w:rsid w:val="00415DA7"/>
    <w:rsid w:val="00445F04"/>
    <w:rsid w:val="00452368"/>
    <w:rsid w:val="0045730D"/>
    <w:rsid w:val="0046165E"/>
    <w:rsid w:val="00470823"/>
    <w:rsid w:val="00472DFA"/>
    <w:rsid w:val="00473F61"/>
    <w:rsid w:val="00480DDE"/>
    <w:rsid w:val="004869B8"/>
    <w:rsid w:val="0048708D"/>
    <w:rsid w:val="00495C42"/>
    <w:rsid w:val="004B5410"/>
    <w:rsid w:val="004C2053"/>
    <w:rsid w:val="004C3857"/>
    <w:rsid w:val="004D020D"/>
    <w:rsid w:val="005044BE"/>
    <w:rsid w:val="005249CF"/>
    <w:rsid w:val="00526D6C"/>
    <w:rsid w:val="0053417B"/>
    <w:rsid w:val="005425E6"/>
    <w:rsid w:val="005442F7"/>
    <w:rsid w:val="005456B0"/>
    <w:rsid w:val="00553A48"/>
    <w:rsid w:val="00553A85"/>
    <w:rsid w:val="00556035"/>
    <w:rsid w:val="00561C2A"/>
    <w:rsid w:val="00564949"/>
    <w:rsid w:val="00592FFA"/>
    <w:rsid w:val="005A000D"/>
    <w:rsid w:val="005B22F8"/>
    <w:rsid w:val="005C1FDC"/>
    <w:rsid w:val="005D1AAE"/>
    <w:rsid w:val="005E165F"/>
    <w:rsid w:val="00606C16"/>
    <w:rsid w:val="00610BE4"/>
    <w:rsid w:val="0061587A"/>
    <w:rsid w:val="00616F56"/>
    <w:rsid w:val="006203FF"/>
    <w:rsid w:val="00624519"/>
    <w:rsid w:val="006304B7"/>
    <w:rsid w:val="0063291E"/>
    <w:rsid w:val="00635428"/>
    <w:rsid w:val="0064298A"/>
    <w:rsid w:val="00646B4F"/>
    <w:rsid w:val="00653D76"/>
    <w:rsid w:val="00662A55"/>
    <w:rsid w:val="006717D4"/>
    <w:rsid w:val="0067188F"/>
    <w:rsid w:val="0068601A"/>
    <w:rsid w:val="006A5656"/>
    <w:rsid w:val="006B44D3"/>
    <w:rsid w:val="006C3B45"/>
    <w:rsid w:val="006C7C3D"/>
    <w:rsid w:val="006E0EF4"/>
    <w:rsid w:val="006E3970"/>
    <w:rsid w:val="00705C80"/>
    <w:rsid w:val="007158EB"/>
    <w:rsid w:val="00735662"/>
    <w:rsid w:val="00736A8B"/>
    <w:rsid w:val="00737570"/>
    <w:rsid w:val="00745279"/>
    <w:rsid w:val="00747CBC"/>
    <w:rsid w:val="00750C98"/>
    <w:rsid w:val="00763A30"/>
    <w:rsid w:val="00767962"/>
    <w:rsid w:val="00774289"/>
    <w:rsid w:val="00776FD7"/>
    <w:rsid w:val="007977A9"/>
    <w:rsid w:val="007B0B3A"/>
    <w:rsid w:val="007B7ECD"/>
    <w:rsid w:val="007D6EB7"/>
    <w:rsid w:val="00817F04"/>
    <w:rsid w:val="00823449"/>
    <w:rsid w:val="00844D92"/>
    <w:rsid w:val="00847B06"/>
    <w:rsid w:val="00847FE7"/>
    <w:rsid w:val="00856264"/>
    <w:rsid w:val="00881576"/>
    <w:rsid w:val="008819E2"/>
    <w:rsid w:val="00883847"/>
    <w:rsid w:val="00884C78"/>
    <w:rsid w:val="00890D7E"/>
    <w:rsid w:val="008A66C8"/>
    <w:rsid w:val="008A66D5"/>
    <w:rsid w:val="008C4389"/>
    <w:rsid w:val="008E0FDA"/>
    <w:rsid w:val="008F58D3"/>
    <w:rsid w:val="009063C7"/>
    <w:rsid w:val="009178EF"/>
    <w:rsid w:val="00921C46"/>
    <w:rsid w:val="00932BDD"/>
    <w:rsid w:val="00937F2D"/>
    <w:rsid w:val="00942F47"/>
    <w:rsid w:val="00946BCD"/>
    <w:rsid w:val="00952827"/>
    <w:rsid w:val="00954F4D"/>
    <w:rsid w:val="00955569"/>
    <w:rsid w:val="00971C74"/>
    <w:rsid w:val="009805C7"/>
    <w:rsid w:val="00990EDF"/>
    <w:rsid w:val="009B07A2"/>
    <w:rsid w:val="009D1018"/>
    <w:rsid w:val="009D50A7"/>
    <w:rsid w:val="009F0910"/>
    <w:rsid w:val="00A07BDC"/>
    <w:rsid w:val="00A254D8"/>
    <w:rsid w:val="00A323BD"/>
    <w:rsid w:val="00A4254A"/>
    <w:rsid w:val="00A42792"/>
    <w:rsid w:val="00A43301"/>
    <w:rsid w:val="00A46257"/>
    <w:rsid w:val="00A50748"/>
    <w:rsid w:val="00A6603B"/>
    <w:rsid w:val="00A912CA"/>
    <w:rsid w:val="00AA5EDD"/>
    <w:rsid w:val="00AB0342"/>
    <w:rsid w:val="00AC1B72"/>
    <w:rsid w:val="00AC33C7"/>
    <w:rsid w:val="00AD0DD1"/>
    <w:rsid w:val="00AD18C4"/>
    <w:rsid w:val="00AF3FC6"/>
    <w:rsid w:val="00B214B0"/>
    <w:rsid w:val="00B22DD1"/>
    <w:rsid w:val="00B2784F"/>
    <w:rsid w:val="00B72F27"/>
    <w:rsid w:val="00B743E4"/>
    <w:rsid w:val="00BA1101"/>
    <w:rsid w:val="00BB5D77"/>
    <w:rsid w:val="00BC5AB0"/>
    <w:rsid w:val="00BC7801"/>
    <w:rsid w:val="00BC7FDE"/>
    <w:rsid w:val="00BD4DF6"/>
    <w:rsid w:val="00C0257B"/>
    <w:rsid w:val="00C13FEA"/>
    <w:rsid w:val="00C148E1"/>
    <w:rsid w:val="00C51697"/>
    <w:rsid w:val="00C617BB"/>
    <w:rsid w:val="00C62FC9"/>
    <w:rsid w:val="00C66B15"/>
    <w:rsid w:val="00C67578"/>
    <w:rsid w:val="00C728D4"/>
    <w:rsid w:val="00C84101"/>
    <w:rsid w:val="00CA2B96"/>
    <w:rsid w:val="00CC2522"/>
    <w:rsid w:val="00CF1C0B"/>
    <w:rsid w:val="00CF5142"/>
    <w:rsid w:val="00D02E03"/>
    <w:rsid w:val="00D0456A"/>
    <w:rsid w:val="00D223C2"/>
    <w:rsid w:val="00D23E1E"/>
    <w:rsid w:val="00D242CF"/>
    <w:rsid w:val="00D26900"/>
    <w:rsid w:val="00D27238"/>
    <w:rsid w:val="00D36093"/>
    <w:rsid w:val="00D47579"/>
    <w:rsid w:val="00D5364D"/>
    <w:rsid w:val="00D67A1A"/>
    <w:rsid w:val="00D73937"/>
    <w:rsid w:val="00D80C01"/>
    <w:rsid w:val="00D90953"/>
    <w:rsid w:val="00D9744A"/>
    <w:rsid w:val="00DB20F9"/>
    <w:rsid w:val="00DD3EFF"/>
    <w:rsid w:val="00DE3529"/>
    <w:rsid w:val="00DF014D"/>
    <w:rsid w:val="00DF2424"/>
    <w:rsid w:val="00E058FD"/>
    <w:rsid w:val="00E161D5"/>
    <w:rsid w:val="00E342A4"/>
    <w:rsid w:val="00E4494E"/>
    <w:rsid w:val="00E6006E"/>
    <w:rsid w:val="00E96BF6"/>
    <w:rsid w:val="00EA2F21"/>
    <w:rsid w:val="00EB3882"/>
    <w:rsid w:val="00EB74E0"/>
    <w:rsid w:val="00EC30C0"/>
    <w:rsid w:val="00EE5585"/>
    <w:rsid w:val="00EE7D15"/>
    <w:rsid w:val="00EF3528"/>
    <w:rsid w:val="00EF6C45"/>
    <w:rsid w:val="00F0034A"/>
    <w:rsid w:val="00F20A33"/>
    <w:rsid w:val="00F42ECB"/>
    <w:rsid w:val="00F70130"/>
    <w:rsid w:val="00F87623"/>
    <w:rsid w:val="00F95009"/>
    <w:rsid w:val="00FC4A85"/>
    <w:rsid w:val="00FD6D5D"/>
    <w:rsid w:val="00FE2D93"/>
    <w:rsid w:val="00FE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8642A76E7B641BAD18DDDE785B6F4">
    <w:name w:val="E498642A76E7B641BAD18DDDE785B6F4"/>
    <w:rsid w:val="00045B5F"/>
  </w:style>
  <w:style w:type="paragraph" w:customStyle="1" w:styleId="35705F0C74DDC747A883E3B0DF5A0B21">
    <w:name w:val="35705F0C74DDC747A883E3B0DF5A0B21"/>
    <w:rsid w:val="00045B5F"/>
  </w:style>
  <w:style w:type="paragraph" w:customStyle="1" w:styleId="2B49F71B23CFF24291B96C8B77B0D893">
    <w:name w:val="2B49F71B23CFF24291B96C8B77B0D893"/>
    <w:rsid w:val="00045B5F"/>
  </w:style>
  <w:style w:type="paragraph" w:customStyle="1" w:styleId="3FFE55568E9CC04A9374756D8AEF234E">
    <w:name w:val="3FFE55568E9CC04A9374756D8AEF234E"/>
    <w:rsid w:val="00045B5F"/>
  </w:style>
  <w:style w:type="paragraph" w:customStyle="1" w:styleId="F89544CA579070428E09A2EBEF022D26">
    <w:name w:val="F89544CA579070428E09A2EBEF022D26"/>
    <w:rsid w:val="00045B5F"/>
  </w:style>
  <w:style w:type="paragraph" w:customStyle="1" w:styleId="FE0CB788C3593347ABAFEA302A4CE71C">
    <w:name w:val="FE0CB788C3593347ABAFEA302A4CE71C"/>
    <w:rsid w:val="00045B5F"/>
  </w:style>
  <w:style w:type="paragraph" w:customStyle="1" w:styleId="CD5EE26D1EBACC44B95F32A7D2CFD290">
    <w:name w:val="CD5EE26D1EBACC44B95F32A7D2CFD290"/>
    <w:rsid w:val="00045B5F"/>
  </w:style>
  <w:style w:type="paragraph" w:customStyle="1" w:styleId="A38F1BD93F30A24B9099E78FBDD6E6E6">
    <w:name w:val="A38F1BD93F30A24B9099E78FBDD6E6E6"/>
    <w:rsid w:val="00045B5F"/>
  </w:style>
  <w:style w:type="paragraph" w:customStyle="1" w:styleId="9ABCFA5F3895C240990767A0E816E62C">
    <w:name w:val="9ABCFA5F3895C240990767A0E816E62C"/>
    <w:rsid w:val="00045B5F"/>
  </w:style>
  <w:style w:type="paragraph" w:customStyle="1" w:styleId="99E507BF57326B4A9E665E140572B63C">
    <w:name w:val="99E507BF57326B4A9E665E140572B63C"/>
    <w:rsid w:val="00045B5F"/>
  </w:style>
  <w:style w:type="paragraph" w:customStyle="1" w:styleId="715730750E398A4996F4F2705E1AC576">
    <w:name w:val="715730750E398A4996F4F2705E1AC576"/>
    <w:rsid w:val="00045B5F"/>
  </w:style>
  <w:style w:type="paragraph" w:customStyle="1" w:styleId="6E2F377E276FE841B18AC352EDAA52C3">
    <w:name w:val="6E2F377E276FE841B18AC352EDAA52C3"/>
    <w:rsid w:val="00045B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98642A76E7B641BAD18DDDE785B6F4">
    <w:name w:val="E498642A76E7B641BAD18DDDE785B6F4"/>
    <w:rsid w:val="00045B5F"/>
  </w:style>
  <w:style w:type="paragraph" w:customStyle="1" w:styleId="35705F0C74DDC747A883E3B0DF5A0B21">
    <w:name w:val="35705F0C74DDC747A883E3B0DF5A0B21"/>
    <w:rsid w:val="00045B5F"/>
  </w:style>
  <w:style w:type="paragraph" w:customStyle="1" w:styleId="2B49F71B23CFF24291B96C8B77B0D893">
    <w:name w:val="2B49F71B23CFF24291B96C8B77B0D893"/>
    <w:rsid w:val="00045B5F"/>
  </w:style>
  <w:style w:type="paragraph" w:customStyle="1" w:styleId="3FFE55568E9CC04A9374756D8AEF234E">
    <w:name w:val="3FFE55568E9CC04A9374756D8AEF234E"/>
    <w:rsid w:val="00045B5F"/>
  </w:style>
  <w:style w:type="paragraph" w:customStyle="1" w:styleId="F89544CA579070428E09A2EBEF022D26">
    <w:name w:val="F89544CA579070428E09A2EBEF022D26"/>
    <w:rsid w:val="00045B5F"/>
  </w:style>
  <w:style w:type="paragraph" w:customStyle="1" w:styleId="FE0CB788C3593347ABAFEA302A4CE71C">
    <w:name w:val="FE0CB788C3593347ABAFEA302A4CE71C"/>
    <w:rsid w:val="00045B5F"/>
  </w:style>
  <w:style w:type="paragraph" w:customStyle="1" w:styleId="CD5EE26D1EBACC44B95F32A7D2CFD290">
    <w:name w:val="CD5EE26D1EBACC44B95F32A7D2CFD290"/>
    <w:rsid w:val="00045B5F"/>
  </w:style>
  <w:style w:type="paragraph" w:customStyle="1" w:styleId="A38F1BD93F30A24B9099E78FBDD6E6E6">
    <w:name w:val="A38F1BD93F30A24B9099E78FBDD6E6E6"/>
    <w:rsid w:val="00045B5F"/>
  </w:style>
  <w:style w:type="paragraph" w:customStyle="1" w:styleId="9ABCFA5F3895C240990767A0E816E62C">
    <w:name w:val="9ABCFA5F3895C240990767A0E816E62C"/>
    <w:rsid w:val="00045B5F"/>
  </w:style>
  <w:style w:type="paragraph" w:customStyle="1" w:styleId="99E507BF57326B4A9E665E140572B63C">
    <w:name w:val="99E507BF57326B4A9E665E140572B63C"/>
    <w:rsid w:val="00045B5F"/>
  </w:style>
  <w:style w:type="paragraph" w:customStyle="1" w:styleId="715730750E398A4996F4F2705E1AC576">
    <w:name w:val="715730750E398A4996F4F2705E1AC576"/>
    <w:rsid w:val="00045B5F"/>
  </w:style>
  <w:style w:type="paragraph" w:customStyle="1" w:styleId="6E2F377E276FE841B18AC352EDAA52C3">
    <w:name w:val="6E2F377E276FE841B18AC352EDAA52C3"/>
    <w:rsid w:val="0004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4819-6D7B-4C76-AD72-9F069729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8074</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53995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Thomas Andreoli Jr.</dc:creator>
  <cp:lastModifiedBy>Artur Hambardzumyan</cp:lastModifiedBy>
  <cp:revision>2</cp:revision>
  <cp:lastPrinted>2018-04-20T05:01:00Z</cp:lastPrinted>
  <dcterms:created xsi:type="dcterms:W3CDTF">2018-08-29T13:52:00Z</dcterms:created>
  <dcterms:modified xsi:type="dcterms:W3CDTF">2018-08-29T13:52:00Z</dcterms:modified>
</cp:coreProperties>
</file>